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A6" w:rsidRDefault="004505F7" w:rsidP="00392854">
      <w:pPr>
        <w:jc w:val="center"/>
        <w:rPr>
          <w:b/>
          <w:smallCaps/>
          <w:sz w:val="36"/>
        </w:rPr>
      </w:pPr>
      <w:r>
        <w:rPr>
          <w:b/>
          <w:smallCaps/>
          <w:sz w:val="36"/>
        </w:rPr>
        <w:t>Department Checklist for Closing Grants</w:t>
      </w: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3168"/>
        <w:gridCol w:w="1728"/>
        <w:gridCol w:w="3168"/>
      </w:tblGrid>
      <w:tr w:rsidR="004505F7" w:rsidTr="004505F7">
        <w:tc>
          <w:tcPr>
            <w:tcW w:w="1728" w:type="dxa"/>
          </w:tcPr>
          <w:p w:rsidR="004505F7" w:rsidRDefault="004505F7" w:rsidP="004505F7">
            <w:pPr>
              <w:jc w:val="both"/>
            </w:pPr>
            <w:r>
              <w:t>PS cost center:</w:t>
            </w:r>
          </w:p>
        </w:tc>
        <w:tc>
          <w:tcPr>
            <w:tcW w:w="3168" w:type="dxa"/>
            <w:tcBorders>
              <w:bottom w:val="single" w:sz="4" w:space="0" w:color="auto"/>
            </w:tcBorders>
          </w:tcPr>
          <w:p w:rsidR="004505F7" w:rsidRDefault="004505F7" w:rsidP="004505F7">
            <w:pPr>
              <w:jc w:val="both"/>
            </w:pPr>
            <w:r>
              <w:fldChar w:fldCharType="begin">
                <w:ffData>
                  <w:name w:val="Text15"/>
                  <w:enabled/>
                  <w:calcOnExit w:val="0"/>
                  <w:textInput/>
                </w:ffData>
              </w:fldChar>
            </w:r>
            <w:bookmarkStart w:id="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28" w:type="dxa"/>
          </w:tcPr>
          <w:p w:rsidR="004505F7" w:rsidRDefault="004505F7" w:rsidP="004505F7">
            <w:pPr>
              <w:jc w:val="both"/>
            </w:pPr>
            <w:r>
              <w:t>PI Name:</w:t>
            </w:r>
          </w:p>
        </w:tc>
        <w:tc>
          <w:tcPr>
            <w:tcW w:w="3168" w:type="dxa"/>
            <w:tcBorders>
              <w:bottom w:val="single" w:sz="4" w:space="0" w:color="auto"/>
            </w:tcBorders>
          </w:tcPr>
          <w:p w:rsidR="004505F7" w:rsidRDefault="004505F7" w:rsidP="004505F7">
            <w:pPr>
              <w:jc w:val="both"/>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05F7" w:rsidTr="004505F7">
        <w:tc>
          <w:tcPr>
            <w:tcW w:w="1728" w:type="dxa"/>
          </w:tcPr>
          <w:p w:rsidR="004505F7" w:rsidRDefault="004505F7" w:rsidP="004505F7">
            <w:pPr>
              <w:jc w:val="both"/>
            </w:pPr>
            <w:r>
              <w:t>Sponsor:</w:t>
            </w:r>
          </w:p>
        </w:tc>
        <w:tc>
          <w:tcPr>
            <w:tcW w:w="3168" w:type="dxa"/>
            <w:tcBorders>
              <w:top w:val="single" w:sz="4" w:space="0" w:color="auto"/>
              <w:bottom w:val="single" w:sz="4" w:space="0" w:color="auto"/>
            </w:tcBorders>
          </w:tcPr>
          <w:p w:rsidR="004505F7" w:rsidRDefault="004505F7" w:rsidP="004505F7">
            <w:pPr>
              <w:jc w:val="both"/>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tcPr>
          <w:p w:rsidR="004505F7" w:rsidRDefault="004505F7" w:rsidP="004505F7">
            <w:pPr>
              <w:jc w:val="both"/>
            </w:pPr>
            <w:r>
              <w:t>Expiration Date:</w:t>
            </w:r>
          </w:p>
        </w:tc>
        <w:tc>
          <w:tcPr>
            <w:tcW w:w="3168" w:type="dxa"/>
            <w:tcBorders>
              <w:top w:val="single" w:sz="4" w:space="0" w:color="auto"/>
              <w:bottom w:val="single" w:sz="4" w:space="0" w:color="auto"/>
            </w:tcBorders>
          </w:tcPr>
          <w:p w:rsidR="004505F7" w:rsidRDefault="004505F7" w:rsidP="004505F7">
            <w:pPr>
              <w:jc w:val="both"/>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505F7" w:rsidRPr="009320AC" w:rsidRDefault="004505F7" w:rsidP="006C06BA">
      <w:pPr>
        <w:spacing w:after="0" w:line="240" w:lineRule="auto"/>
        <w:jc w:val="both"/>
        <w:rPr>
          <w:sz w:val="16"/>
        </w:rPr>
      </w:pPr>
    </w:p>
    <w:p w:rsidR="004505F7" w:rsidRDefault="004505F7" w:rsidP="009320AC">
      <w:pPr>
        <w:spacing w:after="0" w:line="240" w:lineRule="auto"/>
        <w:jc w:val="both"/>
        <w:rPr>
          <w:b/>
        </w:rPr>
      </w:pPr>
      <w:r w:rsidRPr="006C06BA">
        <w:rPr>
          <w:b/>
        </w:rPr>
        <w:t>This grant is:</w:t>
      </w:r>
      <w:r w:rsidRPr="006C06BA">
        <w:rPr>
          <w:b/>
        </w:rPr>
        <w:tab/>
      </w:r>
      <w:r w:rsidRPr="006C06BA">
        <w:rPr>
          <w:b/>
        </w:rPr>
        <w:fldChar w:fldCharType="begin">
          <w:ffData>
            <w:name w:val="Check1"/>
            <w:enabled/>
            <w:calcOnExit w:val="0"/>
            <w:checkBox>
              <w:sizeAuto/>
              <w:default w:val="0"/>
            </w:checkBox>
          </w:ffData>
        </w:fldChar>
      </w:r>
      <w:bookmarkStart w:id="1" w:name="Check1"/>
      <w:r w:rsidRPr="006C06BA">
        <w:rPr>
          <w:b/>
        </w:rPr>
        <w:instrText xml:space="preserve"> FORMCHECKBOX </w:instrText>
      </w:r>
      <w:r w:rsidRPr="006C06BA">
        <w:rPr>
          <w:b/>
        </w:rPr>
      </w:r>
      <w:r w:rsidRPr="006C06BA">
        <w:rPr>
          <w:b/>
        </w:rPr>
        <w:fldChar w:fldCharType="end"/>
      </w:r>
      <w:bookmarkEnd w:id="1"/>
      <w:r w:rsidR="006C06BA">
        <w:rPr>
          <w:b/>
        </w:rPr>
        <w:t xml:space="preserve"> </w:t>
      </w:r>
      <w:r w:rsidRPr="006C06BA">
        <w:rPr>
          <w:b/>
        </w:rPr>
        <w:t>Cost Reimbursable</w:t>
      </w:r>
      <w:r w:rsidRPr="006C06BA">
        <w:rPr>
          <w:b/>
        </w:rPr>
        <w:tab/>
      </w:r>
      <w:r w:rsidRPr="006C06BA">
        <w:rPr>
          <w:b/>
        </w:rPr>
        <w:tab/>
      </w:r>
      <w:r w:rsidRPr="006C06BA">
        <w:rPr>
          <w:b/>
        </w:rPr>
        <w:fldChar w:fldCharType="begin">
          <w:ffData>
            <w:name w:val="Check2"/>
            <w:enabled/>
            <w:calcOnExit w:val="0"/>
            <w:checkBox>
              <w:sizeAuto/>
              <w:default w:val="0"/>
            </w:checkBox>
          </w:ffData>
        </w:fldChar>
      </w:r>
      <w:bookmarkStart w:id="2" w:name="Check2"/>
      <w:r w:rsidRPr="006C06BA">
        <w:rPr>
          <w:b/>
        </w:rPr>
        <w:instrText xml:space="preserve"> FORMCHECKBOX </w:instrText>
      </w:r>
      <w:r w:rsidRPr="006C06BA">
        <w:rPr>
          <w:b/>
        </w:rPr>
      </w:r>
      <w:r w:rsidRPr="006C06BA">
        <w:rPr>
          <w:b/>
        </w:rPr>
        <w:fldChar w:fldCharType="end"/>
      </w:r>
      <w:bookmarkEnd w:id="2"/>
      <w:r w:rsidR="006C06BA">
        <w:rPr>
          <w:b/>
        </w:rPr>
        <w:t xml:space="preserve"> </w:t>
      </w:r>
      <w:r w:rsidRPr="006C06BA">
        <w:rPr>
          <w:b/>
        </w:rPr>
        <w:t>Fixed Price</w:t>
      </w:r>
    </w:p>
    <w:p w:rsidR="009320AC" w:rsidRPr="009320AC" w:rsidRDefault="009320AC" w:rsidP="009320AC">
      <w:pPr>
        <w:spacing w:after="0" w:line="240" w:lineRule="auto"/>
        <w:jc w:val="both"/>
        <w:rPr>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091"/>
      </w:tblGrid>
      <w:tr w:rsidR="004505F7" w:rsidRPr="006C06BA" w:rsidTr="009320AC">
        <w:tc>
          <w:tcPr>
            <w:tcW w:w="485" w:type="dxa"/>
          </w:tcPr>
          <w:p w:rsidR="004505F7" w:rsidRPr="0005233C" w:rsidRDefault="004505F7" w:rsidP="004505F7">
            <w:pPr>
              <w:jc w:val="both"/>
              <w:rPr>
                <w:sz w:val="20"/>
              </w:rPr>
            </w:pPr>
            <w:r w:rsidRPr="0005233C">
              <w:rPr>
                <w:sz w:val="20"/>
              </w:rPr>
              <w:fldChar w:fldCharType="begin">
                <w:ffData>
                  <w:name w:val="Check3"/>
                  <w:enabled/>
                  <w:calcOnExit w:val="0"/>
                  <w:checkBox>
                    <w:sizeAuto/>
                    <w:default w:val="0"/>
                  </w:checkBox>
                </w:ffData>
              </w:fldChar>
            </w:r>
            <w:bookmarkStart w:id="3" w:name="Check3"/>
            <w:r w:rsidRPr="0005233C">
              <w:rPr>
                <w:sz w:val="20"/>
              </w:rPr>
              <w:instrText xml:space="preserve"> FORMCHECKBOX </w:instrText>
            </w:r>
            <w:r w:rsidRPr="0005233C">
              <w:rPr>
                <w:sz w:val="20"/>
              </w:rPr>
            </w:r>
            <w:r w:rsidRPr="0005233C">
              <w:rPr>
                <w:sz w:val="20"/>
              </w:rPr>
              <w:fldChar w:fldCharType="end"/>
            </w:r>
            <w:bookmarkEnd w:id="3"/>
          </w:p>
        </w:tc>
        <w:tc>
          <w:tcPr>
            <w:tcW w:w="9091" w:type="dxa"/>
          </w:tcPr>
          <w:p w:rsidR="004505F7" w:rsidRPr="0005233C" w:rsidRDefault="004505F7" w:rsidP="004505F7">
            <w:pPr>
              <w:jc w:val="both"/>
              <w:rPr>
                <w:sz w:val="20"/>
              </w:rPr>
            </w:pPr>
            <w:r w:rsidRPr="0005233C">
              <w:rPr>
                <w:sz w:val="20"/>
              </w:rPr>
              <w:t xml:space="preserve">90 days </w:t>
            </w:r>
            <w:r w:rsidRPr="0005233C">
              <w:rPr>
                <w:b/>
                <w:sz w:val="20"/>
              </w:rPr>
              <w:t>before</w:t>
            </w:r>
            <w:r w:rsidRPr="0005233C">
              <w:rPr>
                <w:sz w:val="20"/>
              </w:rPr>
              <w:t xml:space="preserve"> the grant end date:</w:t>
            </w:r>
          </w:p>
        </w:tc>
      </w:tr>
      <w:tr w:rsidR="006C06BA" w:rsidRPr="006C06BA" w:rsidTr="009320AC">
        <w:tc>
          <w:tcPr>
            <w:tcW w:w="485" w:type="dxa"/>
          </w:tcPr>
          <w:p w:rsidR="006C06BA" w:rsidRPr="0005233C" w:rsidRDefault="006C06BA" w:rsidP="004505F7">
            <w:pPr>
              <w:jc w:val="both"/>
              <w:rPr>
                <w:sz w:val="20"/>
              </w:rPr>
            </w:pPr>
          </w:p>
        </w:tc>
        <w:tc>
          <w:tcPr>
            <w:tcW w:w="9091" w:type="dxa"/>
          </w:tcPr>
          <w:p w:rsidR="006C06BA" w:rsidRPr="0005233C" w:rsidRDefault="006C06BA" w:rsidP="004505F7">
            <w:pPr>
              <w:jc w:val="both"/>
              <w:rPr>
                <w:sz w:val="20"/>
              </w:rPr>
            </w:pPr>
            <w:r w:rsidRPr="0005233C">
              <w:rPr>
                <w:sz w:val="20"/>
              </w:rPr>
              <w:t>Email the PI, financial staff, and payroll staff that the project will expire in 90 days. Provide them with the current balance.</w:t>
            </w:r>
          </w:p>
        </w:tc>
      </w:tr>
      <w:tr w:rsidR="004505F7" w:rsidRPr="006C06BA" w:rsidTr="009320AC">
        <w:tc>
          <w:tcPr>
            <w:tcW w:w="485" w:type="dxa"/>
          </w:tcPr>
          <w:p w:rsidR="004505F7" w:rsidRPr="0005233C" w:rsidRDefault="004505F7"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4505F7" w:rsidRPr="0005233C" w:rsidRDefault="004505F7" w:rsidP="006C06BA">
            <w:pPr>
              <w:jc w:val="both"/>
              <w:rPr>
                <w:sz w:val="20"/>
              </w:rPr>
            </w:pPr>
            <w:r w:rsidRPr="0005233C">
              <w:rPr>
                <w:sz w:val="20"/>
              </w:rPr>
              <w:t xml:space="preserve">30 days </w:t>
            </w:r>
            <w:r w:rsidRPr="0005233C">
              <w:rPr>
                <w:b/>
                <w:sz w:val="20"/>
              </w:rPr>
              <w:t>before</w:t>
            </w:r>
            <w:r w:rsidRPr="0005233C">
              <w:rPr>
                <w:sz w:val="20"/>
              </w:rPr>
              <w:t xml:space="preserve"> the grant end date:</w:t>
            </w:r>
            <w:r w:rsidR="006C06BA" w:rsidRPr="0005233C">
              <w:rPr>
                <w:sz w:val="20"/>
              </w:rPr>
              <w:t xml:space="preserve"> </w:t>
            </w:r>
          </w:p>
        </w:tc>
      </w:tr>
      <w:tr w:rsidR="006C06BA" w:rsidRPr="006C06BA" w:rsidTr="009320AC">
        <w:tc>
          <w:tcPr>
            <w:tcW w:w="485" w:type="dxa"/>
          </w:tcPr>
          <w:p w:rsidR="006C06BA" w:rsidRPr="0005233C" w:rsidRDefault="006C06BA" w:rsidP="006C06BA">
            <w:pPr>
              <w:jc w:val="both"/>
              <w:rPr>
                <w:sz w:val="20"/>
              </w:rPr>
            </w:pPr>
          </w:p>
        </w:tc>
        <w:tc>
          <w:tcPr>
            <w:tcW w:w="9091" w:type="dxa"/>
          </w:tcPr>
          <w:p w:rsidR="006C06BA" w:rsidRPr="0005233C" w:rsidRDefault="006C06BA" w:rsidP="006C06BA">
            <w:pPr>
              <w:jc w:val="both"/>
              <w:rPr>
                <w:sz w:val="20"/>
              </w:rPr>
            </w:pPr>
            <w:r w:rsidRPr="0005233C">
              <w:rPr>
                <w:sz w:val="20"/>
              </w:rPr>
              <w:t>Email reminder to the PI, financial staff, and payroll staff that the project will expire in 30 days. Financial staff must request all outstanding invoices. Follow-up should be done daily/weekly until all outstanding invoices are paid.</w:t>
            </w:r>
          </w:p>
        </w:tc>
      </w:tr>
      <w:tr w:rsidR="004505F7" w:rsidRPr="006C06BA" w:rsidTr="009320AC">
        <w:tc>
          <w:tcPr>
            <w:tcW w:w="485" w:type="dxa"/>
          </w:tcPr>
          <w:p w:rsidR="004505F7" w:rsidRPr="0005233C" w:rsidRDefault="004505F7"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4505F7" w:rsidRPr="0005233C" w:rsidRDefault="004505F7" w:rsidP="006C06BA">
            <w:pPr>
              <w:jc w:val="both"/>
              <w:rPr>
                <w:sz w:val="20"/>
              </w:rPr>
            </w:pPr>
            <w:r w:rsidRPr="0005233C">
              <w:rPr>
                <w:b/>
                <w:sz w:val="20"/>
              </w:rPr>
              <w:t>After</w:t>
            </w:r>
            <w:r w:rsidRPr="0005233C">
              <w:rPr>
                <w:sz w:val="20"/>
              </w:rPr>
              <w:t xml:space="preserve"> the grant end date:</w:t>
            </w:r>
          </w:p>
        </w:tc>
      </w:tr>
      <w:tr w:rsidR="006C06BA" w:rsidRPr="006C06BA" w:rsidTr="009320AC">
        <w:tc>
          <w:tcPr>
            <w:tcW w:w="485" w:type="dxa"/>
          </w:tcPr>
          <w:p w:rsidR="006C06BA" w:rsidRPr="0005233C" w:rsidRDefault="006C06BA" w:rsidP="006C06BA">
            <w:pPr>
              <w:jc w:val="both"/>
              <w:rPr>
                <w:sz w:val="20"/>
              </w:rPr>
            </w:pPr>
          </w:p>
        </w:tc>
        <w:tc>
          <w:tcPr>
            <w:tcW w:w="9091" w:type="dxa"/>
          </w:tcPr>
          <w:p w:rsidR="006C06BA" w:rsidRPr="0005233C" w:rsidRDefault="006C06BA" w:rsidP="006C06BA">
            <w:pPr>
              <w:jc w:val="both"/>
              <w:rPr>
                <w:sz w:val="20"/>
              </w:rPr>
            </w:pPr>
            <w:r w:rsidRPr="0005233C">
              <w:rPr>
                <w:sz w:val="20"/>
              </w:rPr>
              <w:t>There is a short period after the grant end date, usually 30 days, which can be used to ensure that all transactions are posted and encumbrances are cleared. Ensure that the cost center has a positive or zero balance. Reallocations and corrections may be needed at this time.</w:t>
            </w:r>
          </w:p>
        </w:tc>
      </w:tr>
      <w:tr w:rsidR="009320AC" w:rsidRPr="009320AC" w:rsidTr="009320AC">
        <w:trPr>
          <w:trHeight w:val="144"/>
        </w:trPr>
        <w:tc>
          <w:tcPr>
            <w:tcW w:w="9576" w:type="dxa"/>
            <w:gridSpan w:val="2"/>
            <w:shd w:val="clear" w:color="auto" w:fill="FFFFFF" w:themeFill="background1"/>
          </w:tcPr>
          <w:p w:rsidR="009320AC" w:rsidRPr="0005233C" w:rsidRDefault="009320AC" w:rsidP="004505F7">
            <w:pPr>
              <w:jc w:val="both"/>
              <w:rPr>
                <w:b/>
                <w:color w:val="FFFFFF" w:themeColor="background1"/>
                <w:sz w:val="20"/>
              </w:rPr>
            </w:pPr>
          </w:p>
        </w:tc>
      </w:tr>
      <w:tr w:rsidR="006C06BA" w:rsidRPr="006C06BA" w:rsidTr="009320AC">
        <w:tc>
          <w:tcPr>
            <w:tcW w:w="9576" w:type="dxa"/>
            <w:gridSpan w:val="2"/>
            <w:shd w:val="clear" w:color="auto" w:fill="808080" w:themeFill="background1" w:themeFillShade="80"/>
          </w:tcPr>
          <w:p w:rsidR="004505F7" w:rsidRPr="0005233C" w:rsidRDefault="004505F7" w:rsidP="004505F7">
            <w:pPr>
              <w:jc w:val="both"/>
              <w:rPr>
                <w:b/>
                <w:color w:val="FFFFFF" w:themeColor="background1"/>
                <w:sz w:val="20"/>
              </w:rPr>
            </w:pPr>
            <w:r w:rsidRPr="0005233C">
              <w:rPr>
                <w:b/>
                <w:color w:val="FFFFFF" w:themeColor="background1"/>
                <w:sz w:val="20"/>
              </w:rPr>
              <w:t>1. Verify Allowable and Expenditure Budgets</w:t>
            </w:r>
          </w:p>
        </w:tc>
      </w:tr>
      <w:tr w:rsidR="004505F7" w:rsidRPr="006C06BA" w:rsidTr="009320AC">
        <w:tc>
          <w:tcPr>
            <w:tcW w:w="485" w:type="dxa"/>
          </w:tcPr>
          <w:p w:rsidR="004505F7" w:rsidRPr="0005233C" w:rsidRDefault="004505F7"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4505F7" w:rsidRPr="0005233C" w:rsidRDefault="0005233C" w:rsidP="004505F7">
            <w:pPr>
              <w:jc w:val="both"/>
              <w:rPr>
                <w:sz w:val="20"/>
              </w:rPr>
            </w:pPr>
            <w:r w:rsidRPr="0005233C">
              <w:rPr>
                <w:sz w:val="20"/>
              </w:rPr>
              <w:t>Are all expenses (c</w:t>
            </w:r>
            <w:r w:rsidR="004505F7" w:rsidRPr="0005233C">
              <w:rPr>
                <w:sz w:val="20"/>
              </w:rPr>
              <w:t>heck PS account codes) allowed on the grant?</w:t>
            </w:r>
          </w:p>
        </w:tc>
      </w:tr>
      <w:tr w:rsidR="004505F7" w:rsidRPr="006C06BA" w:rsidTr="009320AC">
        <w:tc>
          <w:tcPr>
            <w:tcW w:w="485" w:type="dxa"/>
          </w:tcPr>
          <w:p w:rsidR="004505F7" w:rsidRPr="0005233C" w:rsidRDefault="004505F7"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4505F7" w:rsidRPr="0005233C" w:rsidRDefault="004505F7" w:rsidP="004505F7">
            <w:pPr>
              <w:jc w:val="both"/>
              <w:rPr>
                <w:sz w:val="20"/>
              </w:rPr>
            </w:pPr>
            <w:r w:rsidRPr="0005233C">
              <w:rPr>
                <w:sz w:val="20"/>
              </w:rPr>
              <w:t>Are the expenditures within the maximum allowed by budget catego</w:t>
            </w:r>
            <w:r w:rsidR="006C06BA" w:rsidRPr="0005233C">
              <w:rPr>
                <w:sz w:val="20"/>
              </w:rPr>
              <w:t>ry (</w:t>
            </w:r>
            <w:r w:rsidRPr="0005233C">
              <w:rPr>
                <w:sz w:val="20"/>
              </w:rPr>
              <w:t>e.</w:t>
            </w:r>
            <w:r w:rsidR="006C06BA" w:rsidRPr="0005233C">
              <w:rPr>
                <w:sz w:val="20"/>
              </w:rPr>
              <w:t>g.</w:t>
            </w:r>
            <w:r w:rsidRPr="0005233C">
              <w:rPr>
                <w:sz w:val="20"/>
              </w:rPr>
              <w:t xml:space="preserve"> PI salary not over allowable amount, stipend/travel totals are within budgeted amount, etc. </w:t>
            </w:r>
            <w:r w:rsidR="006C06BA" w:rsidRPr="0005233C">
              <w:rPr>
                <w:sz w:val="20"/>
              </w:rPr>
              <w:t>Welch and</w:t>
            </w:r>
            <w:r w:rsidRPr="0005233C">
              <w:rPr>
                <w:sz w:val="20"/>
              </w:rPr>
              <w:t xml:space="preserve"> ATP have strict budget rules.)</w:t>
            </w:r>
          </w:p>
        </w:tc>
      </w:tr>
      <w:tr w:rsidR="009320AC" w:rsidRPr="009320AC" w:rsidTr="004822C1">
        <w:trPr>
          <w:trHeight w:val="144"/>
        </w:trPr>
        <w:tc>
          <w:tcPr>
            <w:tcW w:w="9576" w:type="dxa"/>
            <w:gridSpan w:val="2"/>
            <w:shd w:val="clear" w:color="auto" w:fill="FFFFFF" w:themeFill="background1"/>
          </w:tcPr>
          <w:p w:rsidR="009320AC" w:rsidRPr="0005233C" w:rsidRDefault="009320AC" w:rsidP="004822C1">
            <w:pPr>
              <w:jc w:val="both"/>
              <w:rPr>
                <w:b/>
                <w:color w:val="FFFFFF" w:themeColor="background1"/>
                <w:sz w:val="20"/>
              </w:rPr>
            </w:pPr>
          </w:p>
        </w:tc>
      </w:tr>
      <w:tr w:rsidR="006C06BA" w:rsidRPr="006C06BA" w:rsidTr="009320AC">
        <w:tc>
          <w:tcPr>
            <w:tcW w:w="9576" w:type="dxa"/>
            <w:gridSpan w:val="2"/>
            <w:shd w:val="clear" w:color="auto" w:fill="808080" w:themeFill="background1" w:themeFillShade="80"/>
          </w:tcPr>
          <w:p w:rsidR="004505F7" w:rsidRPr="0005233C" w:rsidRDefault="006C06BA" w:rsidP="004505F7">
            <w:pPr>
              <w:jc w:val="both"/>
              <w:rPr>
                <w:b/>
                <w:color w:val="FFFFFF" w:themeColor="background1"/>
                <w:sz w:val="20"/>
              </w:rPr>
            </w:pPr>
            <w:r w:rsidRPr="0005233C">
              <w:rPr>
                <w:b/>
                <w:color w:val="FFFFFF" w:themeColor="background1"/>
                <w:sz w:val="20"/>
              </w:rPr>
              <w:t>2. Release Encumbrances</w:t>
            </w:r>
          </w:p>
        </w:tc>
      </w:tr>
      <w:tr w:rsidR="004505F7" w:rsidRPr="006C06BA" w:rsidTr="009320AC">
        <w:tc>
          <w:tcPr>
            <w:tcW w:w="485" w:type="dxa"/>
          </w:tcPr>
          <w:p w:rsidR="004505F7" w:rsidRPr="0005233C" w:rsidRDefault="004505F7"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4505F7" w:rsidRPr="0005233C" w:rsidRDefault="004505F7" w:rsidP="006C06BA">
            <w:pPr>
              <w:jc w:val="both"/>
              <w:rPr>
                <w:sz w:val="20"/>
              </w:rPr>
            </w:pPr>
            <w:r w:rsidRPr="0005233C">
              <w:rPr>
                <w:sz w:val="20"/>
              </w:rPr>
              <w:t>Prepare Telecomm Long Distance Work Request to change the cost center, if applicable. (90 days in advance)</w:t>
            </w:r>
          </w:p>
        </w:tc>
      </w:tr>
      <w:tr w:rsidR="004505F7" w:rsidRPr="006C06BA" w:rsidTr="009320AC">
        <w:tc>
          <w:tcPr>
            <w:tcW w:w="485" w:type="dxa"/>
          </w:tcPr>
          <w:p w:rsidR="004505F7" w:rsidRPr="0005233C" w:rsidRDefault="004505F7"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4505F7" w:rsidRPr="0005233C" w:rsidRDefault="004505F7" w:rsidP="00A319C8">
            <w:pPr>
              <w:jc w:val="both"/>
              <w:rPr>
                <w:sz w:val="20"/>
              </w:rPr>
            </w:pPr>
            <w:r w:rsidRPr="0005233C">
              <w:rPr>
                <w:sz w:val="20"/>
              </w:rPr>
              <w:t xml:space="preserve">Prepare GL Encumbrance Journal to release any Telecomm Long Distance encumbrance that is on </w:t>
            </w:r>
            <w:r w:rsidR="00A319C8" w:rsidRPr="0005233C">
              <w:rPr>
                <w:sz w:val="20"/>
              </w:rPr>
              <w:t>PS</w:t>
            </w:r>
            <w:r w:rsidRPr="0005233C">
              <w:rPr>
                <w:sz w:val="20"/>
              </w:rPr>
              <w:t>.</w:t>
            </w:r>
          </w:p>
        </w:tc>
      </w:tr>
      <w:tr w:rsidR="004505F7" w:rsidRPr="006C06BA" w:rsidTr="009320AC">
        <w:tc>
          <w:tcPr>
            <w:tcW w:w="485" w:type="dxa"/>
          </w:tcPr>
          <w:p w:rsidR="004505F7" w:rsidRPr="0005233C" w:rsidRDefault="004505F7"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4505F7" w:rsidRPr="0005233C" w:rsidRDefault="004505F7" w:rsidP="0005233C">
            <w:pPr>
              <w:jc w:val="both"/>
              <w:rPr>
                <w:sz w:val="20"/>
              </w:rPr>
            </w:pPr>
            <w:r w:rsidRPr="0005233C">
              <w:rPr>
                <w:sz w:val="20"/>
              </w:rPr>
              <w:t xml:space="preserve">Release all other </w:t>
            </w:r>
            <w:r w:rsidR="0005233C" w:rsidRPr="0005233C">
              <w:rPr>
                <w:sz w:val="20"/>
              </w:rPr>
              <w:t>e</w:t>
            </w:r>
            <w:r w:rsidRPr="0005233C">
              <w:rPr>
                <w:sz w:val="20"/>
              </w:rPr>
              <w:t>ncumbrance</w:t>
            </w:r>
            <w:r w:rsidR="0005233C" w:rsidRPr="0005233C">
              <w:rPr>
                <w:sz w:val="20"/>
              </w:rPr>
              <w:t>s</w:t>
            </w:r>
            <w:r w:rsidR="00A319C8" w:rsidRPr="0005233C">
              <w:rPr>
                <w:sz w:val="20"/>
              </w:rPr>
              <w:t>,</w:t>
            </w:r>
            <w:r w:rsidRPr="0005233C">
              <w:rPr>
                <w:sz w:val="20"/>
              </w:rPr>
              <w:t xml:space="preserve"> including payroll.</w:t>
            </w:r>
            <w:r w:rsidR="006C06BA" w:rsidRPr="0005233C">
              <w:rPr>
                <w:sz w:val="20"/>
              </w:rPr>
              <w:t xml:space="preserve"> </w:t>
            </w:r>
            <w:r w:rsidRPr="0005233C">
              <w:rPr>
                <w:sz w:val="20"/>
              </w:rPr>
              <w:t xml:space="preserve">POs should be released with </w:t>
            </w:r>
            <w:r w:rsidR="00A319C8" w:rsidRPr="0005233C">
              <w:rPr>
                <w:sz w:val="20"/>
              </w:rPr>
              <w:t xml:space="preserve">the </w:t>
            </w:r>
            <w:r w:rsidRPr="0005233C">
              <w:rPr>
                <w:sz w:val="20"/>
              </w:rPr>
              <w:t>final invoice.</w:t>
            </w:r>
          </w:p>
        </w:tc>
      </w:tr>
      <w:tr w:rsidR="004505F7" w:rsidRPr="006C06BA" w:rsidTr="009320AC">
        <w:tc>
          <w:tcPr>
            <w:tcW w:w="485" w:type="dxa"/>
          </w:tcPr>
          <w:p w:rsidR="004505F7" w:rsidRPr="0005233C" w:rsidRDefault="004505F7"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4505F7" w:rsidRPr="0005233C" w:rsidRDefault="004505F7" w:rsidP="00A319C8">
            <w:pPr>
              <w:jc w:val="both"/>
              <w:rPr>
                <w:sz w:val="20"/>
              </w:rPr>
            </w:pPr>
            <w:r w:rsidRPr="0005233C">
              <w:rPr>
                <w:sz w:val="20"/>
              </w:rPr>
              <w:t>Contact OCG to release any unpaid subawards.</w:t>
            </w:r>
          </w:p>
        </w:tc>
      </w:tr>
      <w:tr w:rsidR="009320AC" w:rsidRPr="009320AC" w:rsidTr="004822C1">
        <w:trPr>
          <w:trHeight w:val="144"/>
        </w:trPr>
        <w:tc>
          <w:tcPr>
            <w:tcW w:w="9576" w:type="dxa"/>
            <w:gridSpan w:val="2"/>
            <w:shd w:val="clear" w:color="auto" w:fill="FFFFFF" w:themeFill="background1"/>
          </w:tcPr>
          <w:p w:rsidR="009320AC" w:rsidRPr="0005233C" w:rsidRDefault="009320AC" w:rsidP="004822C1">
            <w:pPr>
              <w:jc w:val="both"/>
              <w:rPr>
                <w:b/>
                <w:color w:val="FFFFFF" w:themeColor="background1"/>
                <w:sz w:val="20"/>
              </w:rPr>
            </w:pPr>
          </w:p>
        </w:tc>
      </w:tr>
      <w:tr w:rsidR="006C06BA" w:rsidRPr="006C06BA" w:rsidTr="009320AC">
        <w:tc>
          <w:tcPr>
            <w:tcW w:w="9576" w:type="dxa"/>
            <w:gridSpan w:val="2"/>
            <w:shd w:val="clear" w:color="auto" w:fill="808080" w:themeFill="background1" w:themeFillShade="80"/>
          </w:tcPr>
          <w:p w:rsidR="004505F7" w:rsidRPr="0005233C" w:rsidRDefault="006C06BA" w:rsidP="006C06BA">
            <w:pPr>
              <w:jc w:val="both"/>
              <w:rPr>
                <w:b/>
                <w:color w:val="FFFFFF" w:themeColor="background1"/>
                <w:sz w:val="20"/>
              </w:rPr>
            </w:pPr>
            <w:r w:rsidRPr="0005233C">
              <w:rPr>
                <w:b/>
                <w:color w:val="FFFFFF" w:themeColor="background1"/>
                <w:sz w:val="20"/>
              </w:rPr>
              <w:t>3. Clearing Liabilities</w:t>
            </w:r>
          </w:p>
        </w:tc>
      </w:tr>
      <w:tr w:rsidR="004505F7" w:rsidRPr="006C06BA" w:rsidTr="009320AC">
        <w:tc>
          <w:tcPr>
            <w:tcW w:w="485" w:type="dxa"/>
          </w:tcPr>
          <w:p w:rsidR="004505F7" w:rsidRPr="0005233C" w:rsidRDefault="004505F7"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4505F7" w:rsidRPr="0005233C" w:rsidRDefault="006C06BA" w:rsidP="00A319C8">
            <w:pPr>
              <w:jc w:val="both"/>
              <w:rPr>
                <w:sz w:val="20"/>
              </w:rPr>
            </w:pPr>
            <w:r w:rsidRPr="0005233C">
              <w:rPr>
                <w:sz w:val="20"/>
              </w:rPr>
              <w:t xml:space="preserve">All payroll and accounts payable liabilities should be zeroed out at the end of the award. Contact </w:t>
            </w:r>
            <w:r w:rsidR="00A319C8" w:rsidRPr="0005233C">
              <w:rPr>
                <w:sz w:val="20"/>
              </w:rPr>
              <w:t>P</w:t>
            </w:r>
            <w:r w:rsidRPr="0005233C">
              <w:rPr>
                <w:sz w:val="20"/>
              </w:rPr>
              <w:t xml:space="preserve">ayroll and </w:t>
            </w:r>
            <w:r w:rsidR="00A319C8" w:rsidRPr="0005233C">
              <w:rPr>
                <w:sz w:val="20"/>
              </w:rPr>
              <w:t>A</w:t>
            </w:r>
            <w:r w:rsidRPr="0005233C">
              <w:rPr>
                <w:sz w:val="20"/>
              </w:rPr>
              <w:t xml:space="preserve">ccounts </w:t>
            </w:r>
            <w:r w:rsidR="00A319C8" w:rsidRPr="0005233C">
              <w:rPr>
                <w:sz w:val="20"/>
              </w:rPr>
              <w:t>P</w:t>
            </w:r>
            <w:r w:rsidRPr="0005233C">
              <w:rPr>
                <w:sz w:val="20"/>
              </w:rPr>
              <w:t>ayable to clear those liabilities.</w:t>
            </w:r>
          </w:p>
        </w:tc>
      </w:tr>
      <w:tr w:rsidR="009320AC" w:rsidRPr="009320AC" w:rsidTr="004822C1">
        <w:trPr>
          <w:trHeight w:val="144"/>
        </w:trPr>
        <w:tc>
          <w:tcPr>
            <w:tcW w:w="9576" w:type="dxa"/>
            <w:gridSpan w:val="2"/>
            <w:shd w:val="clear" w:color="auto" w:fill="FFFFFF" w:themeFill="background1"/>
          </w:tcPr>
          <w:p w:rsidR="009320AC" w:rsidRPr="0005233C" w:rsidRDefault="009320AC" w:rsidP="004822C1">
            <w:pPr>
              <w:jc w:val="both"/>
              <w:rPr>
                <w:b/>
                <w:color w:val="FFFFFF" w:themeColor="background1"/>
                <w:sz w:val="20"/>
              </w:rPr>
            </w:pPr>
          </w:p>
        </w:tc>
      </w:tr>
      <w:tr w:rsidR="006C06BA" w:rsidRPr="006C06BA" w:rsidTr="009320AC">
        <w:tc>
          <w:tcPr>
            <w:tcW w:w="9576" w:type="dxa"/>
            <w:gridSpan w:val="2"/>
            <w:shd w:val="clear" w:color="auto" w:fill="808080" w:themeFill="background1" w:themeFillShade="80"/>
          </w:tcPr>
          <w:p w:rsidR="006C06BA" w:rsidRPr="0005233C" w:rsidRDefault="006C06BA" w:rsidP="006C06BA">
            <w:pPr>
              <w:jc w:val="both"/>
              <w:rPr>
                <w:b/>
                <w:color w:val="FFFFFF" w:themeColor="background1"/>
                <w:sz w:val="20"/>
              </w:rPr>
            </w:pPr>
            <w:r w:rsidRPr="0005233C">
              <w:rPr>
                <w:b/>
                <w:color w:val="FFFFFF" w:themeColor="background1"/>
                <w:sz w:val="20"/>
              </w:rPr>
              <w:t>4. Equipment Inventory</w:t>
            </w:r>
          </w:p>
        </w:tc>
      </w:tr>
      <w:tr w:rsidR="004505F7" w:rsidRPr="006C06BA" w:rsidTr="009320AC">
        <w:tc>
          <w:tcPr>
            <w:tcW w:w="485" w:type="dxa"/>
          </w:tcPr>
          <w:p w:rsidR="004505F7" w:rsidRPr="0005233C" w:rsidRDefault="004505F7"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4505F7" w:rsidRPr="0005233C" w:rsidRDefault="006C06BA" w:rsidP="0005233C">
            <w:pPr>
              <w:jc w:val="both"/>
              <w:rPr>
                <w:sz w:val="20"/>
              </w:rPr>
            </w:pPr>
            <w:r w:rsidRPr="0005233C">
              <w:rPr>
                <w:sz w:val="20"/>
              </w:rPr>
              <w:t xml:space="preserve">If NOA indicates that equipment is vested with the </w:t>
            </w:r>
            <w:r w:rsidR="00A319C8" w:rsidRPr="0005233C">
              <w:rPr>
                <w:sz w:val="20"/>
              </w:rPr>
              <w:t>u</w:t>
            </w:r>
            <w:r w:rsidRPr="0005233C">
              <w:rPr>
                <w:sz w:val="20"/>
              </w:rPr>
              <w:t xml:space="preserve">niversity, </w:t>
            </w:r>
            <w:r w:rsidR="00A01A3E" w:rsidRPr="0005233C">
              <w:rPr>
                <w:sz w:val="20"/>
              </w:rPr>
              <w:t>no action</w:t>
            </w:r>
            <w:r w:rsidR="0005233C" w:rsidRPr="0005233C">
              <w:rPr>
                <w:sz w:val="20"/>
              </w:rPr>
              <w:t xml:space="preserve"> is</w:t>
            </w:r>
            <w:r w:rsidR="00A01A3E" w:rsidRPr="0005233C">
              <w:rPr>
                <w:sz w:val="20"/>
              </w:rPr>
              <w:t xml:space="preserve"> needed</w:t>
            </w:r>
            <w:r w:rsidR="0005233C" w:rsidRPr="0005233C">
              <w:rPr>
                <w:sz w:val="20"/>
              </w:rPr>
              <w:t>.</w:t>
            </w:r>
          </w:p>
        </w:tc>
      </w:tr>
      <w:tr w:rsidR="006C06BA" w:rsidRPr="006C06BA" w:rsidTr="009320AC">
        <w:tc>
          <w:tcPr>
            <w:tcW w:w="485" w:type="dxa"/>
          </w:tcPr>
          <w:p w:rsidR="006C06BA" w:rsidRPr="0005233C" w:rsidRDefault="006C06BA"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6C06BA" w:rsidRPr="0005233C" w:rsidRDefault="006C06BA" w:rsidP="00A01A3E">
            <w:pPr>
              <w:jc w:val="both"/>
              <w:rPr>
                <w:sz w:val="20"/>
              </w:rPr>
            </w:pPr>
            <w:r w:rsidRPr="0005233C">
              <w:rPr>
                <w:sz w:val="20"/>
              </w:rPr>
              <w:t xml:space="preserve">If NOA indicates that equipment is </w:t>
            </w:r>
            <w:r w:rsidRPr="0005233C">
              <w:rPr>
                <w:b/>
                <w:sz w:val="20"/>
                <w:u w:val="single"/>
              </w:rPr>
              <w:t>not</w:t>
            </w:r>
            <w:r w:rsidRPr="0005233C">
              <w:rPr>
                <w:sz w:val="20"/>
              </w:rPr>
              <w:t xml:space="preserve"> vested with the University, </w:t>
            </w:r>
            <w:r w:rsidR="00A01A3E" w:rsidRPr="0005233C">
              <w:rPr>
                <w:sz w:val="20"/>
              </w:rPr>
              <w:t>verify with PM that the equipment is correctly tagged as sponsor property an</w:t>
            </w:r>
            <w:r w:rsidR="0005233C" w:rsidRPr="0005233C">
              <w:rPr>
                <w:sz w:val="20"/>
              </w:rPr>
              <w:t>d</w:t>
            </w:r>
            <w:r w:rsidR="00A01A3E" w:rsidRPr="0005233C">
              <w:rPr>
                <w:sz w:val="20"/>
              </w:rPr>
              <w:t xml:space="preserve"> can be shipped back; or contact OCG to work out a fair market value price to keep the equipment. </w:t>
            </w:r>
          </w:p>
        </w:tc>
      </w:tr>
      <w:tr w:rsidR="009320AC" w:rsidRPr="009320AC" w:rsidTr="004822C1">
        <w:trPr>
          <w:trHeight w:val="144"/>
        </w:trPr>
        <w:tc>
          <w:tcPr>
            <w:tcW w:w="9576" w:type="dxa"/>
            <w:gridSpan w:val="2"/>
            <w:shd w:val="clear" w:color="auto" w:fill="FFFFFF" w:themeFill="background1"/>
          </w:tcPr>
          <w:p w:rsidR="009320AC" w:rsidRPr="0005233C" w:rsidRDefault="009320AC" w:rsidP="004822C1">
            <w:pPr>
              <w:jc w:val="both"/>
              <w:rPr>
                <w:b/>
                <w:color w:val="FFFFFF" w:themeColor="background1"/>
                <w:sz w:val="20"/>
              </w:rPr>
            </w:pPr>
          </w:p>
        </w:tc>
      </w:tr>
      <w:tr w:rsidR="006C06BA" w:rsidRPr="006C06BA" w:rsidTr="009320AC">
        <w:tc>
          <w:tcPr>
            <w:tcW w:w="9576" w:type="dxa"/>
            <w:gridSpan w:val="2"/>
            <w:shd w:val="clear" w:color="auto" w:fill="808080" w:themeFill="background1" w:themeFillShade="80"/>
          </w:tcPr>
          <w:p w:rsidR="006C06BA" w:rsidRPr="0005233C" w:rsidRDefault="006C06BA" w:rsidP="00A319C8">
            <w:pPr>
              <w:jc w:val="both"/>
              <w:rPr>
                <w:b/>
                <w:color w:val="FFFFFF" w:themeColor="background1"/>
                <w:sz w:val="20"/>
              </w:rPr>
            </w:pPr>
            <w:r w:rsidRPr="0005233C">
              <w:rPr>
                <w:b/>
                <w:color w:val="FFFFFF" w:themeColor="background1"/>
                <w:sz w:val="20"/>
              </w:rPr>
              <w:t xml:space="preserve">5. Complete an IDC analysis using the </w:t>
            </w:r>
            <w:hyperlink r:id="rId9" w:history="1">
              <w:r w:rsidRPr="0005233C">
                <w:rPr>
                  <w:rStyle w:val="Hyperlink"/>
                  <w:b/>
                  <w:sz w:val="20"/>
                </w:rPr>
                <w:t>IDC Analysis sheet</w:t>
              </w:r>
            </w:hyperlink>
            <w:r w:rsidR="00A01A3E" w:rsidRPr="0005233C">
              <w:rPr>
                <w:b/>
                <w:color w:val="FFFFFF" w:themeColor="background1"/>
                <w:sz w:val="20"/>
              </w:rPr>
              <w:t xml:space="preserve">. If IDC is incorrect, contact your </w:t>
            </w:r>
            <w:r w:rsidR="00A319C8" w:rsidRPr="0005233C">
              <w:rPr>
                <w:b/>
                <w:color w:val="FFFFFF" w:themeColor="background1"/>
                <w:sz w:val="20"/>
              </w:rPr>
              <w:t>Research Financial Services</w:t>
            </w:r>
            <w:r w:rsidR="00A01A3E" w:rsidRPr="0005233C">
              <w:rPr>
                <w:b/>
                <w:color w:val="FFFFFF" w:themeColor="background1"/>
                <w:sz w:val="20"/>
              </w:rPr>
              <w:t xml:space="preserve"> Analyst</w:t>
            </w:r>
            <w:r w:rsidRPr="0005233C">
              <w:rPr>
                <w:b/>
                <w:color w:val="FFFFFF" w:themeColor="background1"/>
                <w:sz w:val="20"/>
              </w:rPr>
              <w:t>.</w:t>
            </w:r>
          </w:p>
        </w:tc>
      </w:tr>
      <w:tr w:rsidR="009320AC" w:rsidRPr="009320AC" w:rsidTr="004822C1">
        <w:trPr>
          <w:trHeight w:val="144"/>
        </w:trPr>
        <w:tc>
          <w:tcPr>
            <w:tcW w:w="9576" w:type="dxa"/>
            <w:gridSpan w:val="2"/>
            <w:shd w:val="clear" w:color="auto" w:fill="FFFFFF" w:themeFill="background1"/>
          </w:tcPr>
          <w:p w:rsidR="009320AC" w:rsidRPr="0005233C" w:rsidRDefault="009320AC" w:rsidP="004822C1">
            <w:pPr>
              <w:jc w:val="both"/>
              <w:rPr>
                <w:b/>
                <w:color w:val="FFFFFF" w:themeColor="background1"/>
                <w:sz w:val="20"/>
              </w:rPr>
            </w:pPr>
          </w:p>
        </w:tc>
      </w:tr>
      <w:tr w:rsidR="006C06BA" w:rsidRPr="006C06BA" w:rsidTr="009320AC">
        <w:tc>
          <w:tcPr>
            <w:tcW w:w="9576" w:type="dxa"/>
            <w:gridSpan w:val="2"/>
            <w:shd w:val="clear" w:color="auto" w:fill="808080" w:themeFill="background1" w:themeFillShade="80"/>
          </w:tcPr>
          <w:p w:rsidR="006C06BA" w:rsidRPr="0005233C" w:rsidRDefault="006C06BA" w:rsidP="006C06BA">
            <w:pPr>
              <w:jc w:val="both"/>
              <w:rPr>
                <w:b/>
                <w:color w:val="FFFFFF" w:themeColor="background1"/>
                <w:sz w:val="20"/>
              </w:rPr>
            </w:pPr>
            <w:r w:rsidRPr="0005233C">
              <w:rPr>
                <w:b/>
                <w:color w:val="FFFFFF" w:themeColor="background1"/>
                <w:sz w:val="20"/>
              </w:rPr>
              <w:t>6. Final Reporting and Close Out of the Cost Center</w:t>
            </w:r>
          </w:p>
        </w:tc>
      </w:tr>
      <w:bookmarkStart w:id="4" w:name="_GoBack"/>
      <w:tr w:rsidR="006C06BA" w:rsidRPr="006C06BA" w:rsidTr="009320AC">
        <w:tc>
          <w:tcPr>
            <w:tcW w:w="485" w:type="dxa"/>
          </w:tcPr>
          <w:p w:rsidR="006C06BA" w:rsidRPr="0005233C" w:rsidRDefault="006C06BA"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bookmarkEnd w:id="4"/>
          </w:p>
        </w:tc>
        <w:tc>
          <w:tcPr>
            <w:tcW w:w="9091" w:type="dxa"/>
          </w:tcPr>
          <w:p w:rsidR="006C06BA" w:rsidRPr="0005233C" w:rsidRDefault="006C06BA" w:rsidP="00A319C8">
            <w:pPr>
              <w:jc w:val="both"/>
              <w:rPr>
                <w:sz w:val="20"/>
              </w:rPr>
            </w:pPr>
            <w:r w:rsidRPr="0005233C">
              <w:rPr>
                <w:sz w:val="20"/>
              </w:rPr>
              <w:t xml:space="preserve">Verify that the Final Invoice is accurate. </w:t>
            </w:r>
            <w:r w:rsidR="00A319C8" w:rsidRPr="0005233C">
              <w:rPr>
                <w:sz w:val="20"/>
              </w:rPr>
              <w:t>(</w:t>
            </w:r>
            <w:r w:rsidRPr="0005233C">
              <w:rPr>
                <w:sz w:val="20"/>
              </w:rPr>
              <w:t>RFS shoul</w:t>
            </w:r>
            <w:r w:rsidR="00A319C8" w:rsidRPr="0005233C">
              <w:rPr>
                <w:sz w:val="20"/>
              </w:rPr>
              <w:t>d send a copy to the department.)</w:t>
            </w:r>
          </w:p>
        </w:tc>
      </w:tr>
      <w:tr w:rsidR="006C06BA" w:rsidRPr="006C06BA" w:rsidTr="009320AC">
        <w:tc>
          <w:tcPr>
            <w:tcW w:w="485" w:type="dxa"/>
          </w:tcPr>
          <w:p w:rsidR="006C06BA" w:rsidRPr="0005233C" w:rsidRDefault="006C06BA"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6C06BA" w:rsidRPr="0005233C" w:rsidRDefault="006C06BA" w:rsidP="006C06BA">
            <w:pPr>
              <w:jc w:val="both"/>
              <w:rPr>
                <w:sz w:val="20"/>
              </w:rPr>
            </w:pPr>
            <w:r w:rsidRPr="0005233C">
              <w:rPr>
                <w:sz w:val="20"/>
                <w:u w:val="single"/>
              </w:rPr>
              <w:t>If fixed price with a balance of less than 25%</w:t>
            </w:r>
            <w:r w:rsidRPr="0005233C">
              <w:rPr>
                <w:sz w:val="20"/>
              </w:rPr>
              <w:t xml:space="preserve"> of the original award, PI may request transfer of the balance to a residual funds cost center.</w:t>
            </w:r>
          </w:p>
        </w:tc>
      </w:tr>
      <w:tr w:rsidR="006C06BA" w:rsidRPr="006C06BA" w:rsidTr="009320AC">
        <w:tc>
          <w:tcPr>
            <w:tcW w:w="485" w:type="dxa"/>
          </w:tcPr>
          <w:p w:rsidR="006C06BA" w:rsidRPr="0005233C" w:rsidRDefault="006C06BA"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6C06BA" w:rsidRPr="0005233C" w:rsidRDefault="006C06BA" w:rsidP="006C06BA">
            <w:pPr>
              <w:jc w:val="both"/>
              <w:rPr>
                <w:sz w:val="20"/>
              </w:rPr>
            </w:pPr>
            <w:r w:rsidRPr="0005233C">
              <w:rPr>
                <w:sz w:val="20"/>
                <w:u w:val="single"/>
              </w:rPr>
              <w:t>If fixed price with a balance of more than 25%</w:t>
            </w:r>
            <w:r w:rsidRPr="0005233C">
              <w:rPr>
                <w:sz w:val="20"/>
              </w:rPr>
              <w:t>, PI must prepare a technical reason for the excess or ask the agency for an extension.</w:t>
            </w:r>
          </w:p>
        </w:tc>
      </w:tr>
      <w:tr w:rsidR="006C06BA" w:rsidRPr="006C06BA" w:rsidTr="009320AC">
        <w:tc>
          <w:tcPr>
            <w:tcW w:w="485" w:type="dxa"/>
          </w:tcPr>
          <w:p w:rsidR="006C06BA" w:rsidRPr="0005233C" w:rsidRDefault="006C06BA" w:rsidP="006C06BA">
            <w:pPr>
              <w:jc w:val="both"/>
              <w:rPr>
                <w:sz w:val="20"/>
              </w:rPr>
            </w:pPr>
            <w:r w:rsidRPr="0005233C">
              <w:rPr>
                <w:sz w:val="20"/>
              </w:rPr>
              <w:fldChar w:fldCharType="begin">
                <w:ffData>
                  <w:name w:val="Check3"/>
                  <w:enabled/>
                  <w:calcOnExit w:val="0"/>
                  <w:checkBox>
                    <w:sizeAuto/>
                    <w:default w:val="0"/>
                  </w:checkBox>
                </w:ffData>
              </w:fldChar>
            </w:r>
            <w:r w:rsidRPr="0005233C">
              <w:rPr>
                <w:sz w:val="20"/>
              </w:rPr>
              <w:instrText xml:space="preserve"> FORMCHECKBOX </w:instrText>
            </w:r>
            <w:r w:rsidRPr="0005233C">
              <w:rPr>
                <w:sz w:val="20"/>
              </w:rPr>
            </w:r>
            <w:r w:rsidRPr="0005233C">
              <w:rPr>
                <w:sz w:val="20"/>
              </w:rPr>
              <w:fldChar w:fldCharType="end"/>
            </w:r>
          </w:p>
        </w:tc>
        <w:tc>
          <w:tcPr>
            <w:tcW w:w="9091" w:type="dxa"/>
          </w:tcPr>
          <w:p w:rsidR="006C06BA" w:rsidRPr="0005233C" w:rsidRDefault="006C06BA" w:rsidP="006C06BA">
            <w:pPr>
              <w:jc w:val="both"/>
              <w:rPr>
                <w:sz w:val="20"/>
              </w:rPr>
            </w:pPr>
            <w:r w:rsidRPr="0005233C">
              <w:rPr>
                <w:sz w:val="20"/>
              </w:rPr>
              <w:t>Remind PI about the submission of all technical reports. OCG can assist with submission.</w:t>
            </w:r>
          </w:p>
        </w:tc>
      </w:tr>
    </w:tbl>
    <w:p w:rsidR="00C15E85" w:rsidRPr="009320AC" w:rsidRDefault="00C15E85" w:rsidP="009320AC">
      <w:pPr>
        <w:spacing w:after="0" w:line="240" w:lineRule="auto"/>
        <w:jc w:val="both"/>
        <w:rPr>
          <w:sz w:val="2"/>
        </w:rPr>
      </w:pPr>
    </w:p>
    <w:sectPr w:rsidR="00C15E85" w:rsidRPr="009320AC" w:rsidSect="00734B78">
      <w:headerReference w:type="default" r:id="rId10"/>
      <w:footerReference w:type="defaul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C38" w:rsidRDefault="00632C38" w:rsidP="00905605">
      <w:pPr>
        <w:spacing w:after="0" w:line="240" w:lineRule="auto"/>
      </w:pPr>
      <w:r>
        <w:separator/>
      </w:r>
    </w:p>
  </w:endnote>
  <w:endnote w:type="continuationSeparator" w:id="0">
    <w:p w:rsidR="00632C38" w:rsidRDefault="00632C38"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6C06BA" w:rsidTr="00EA44B4">
      <w:tc>
        <w:tcPr>
          <w:tcW w:w="4500" w:type="pct"/>
          <w:tcBorders>
            <w:top w:val="single" w:sz="4" w:space="0" w:color="000000" w:themeColor="text1"/>
          </w:tcBorders>
        </w:tcPr>
        <w:p w:rsidR="006C06BA" w:rsidRDefault="007E6E5B" w:rsidP="00B93758">
          <w:pPr>
            <w:pStyle w:val="Footer"/>
            <w:jc w:val="right"/>
          </w:pPr>
          <w:r w:rsidRPr="007E6E5B">
            <w:t>DOR.OCG.F.03 - Closeout Checklist</w:t>
          </w:r>
        </w:p>
        <w:p w:rsidR="006C06BA" w:rsidRDefault="006C06BA" w:rsidP="00A319C8">
          <w:pPr>
            <w:pStyle w:val="Footer"/>
            <w:jc w:val="right"/>
          </w:pPr>
          <w:r>
            <w:t xml:space="preserve">Form updated </w:t>
          </w:r>
          <w:r w:rsidR="00A319C8">
            <w:t>February 2012</w:t>
          </w:r>
        </w:p>
      </w:tc>
      <w:tc>
        <w:tcPr>
          <w:tcW w:w="500" w:type="pct"/>
          <w:tcBorders>
            <w:top w:val="single" w:sz="4" w:space="0" w:color="C0504D" w:themeColor="accent2"/>
          </w:tcBorders>
          <w:shd w:val="clear" w:color="auto" w:fill="CC0000"/>
          <w:vAlign w:val="center"/>
        </w:tcPr>
        <w:p w:rsidR="006C06BA" w:rsidRDefault="006C06BA" w:rsidP="00E8068A">
          <w:pPr>
            <w:pStyle w:val="Header"/>
            <w:jc w:val="center"/>
            <w:rPr>
              <w:color w:val="FFFFFF" w:themeColor="background1"/>
            </w:rPr>
          </w:pPr>
          <w:r>
            <w:fldChar w:fldCharType="begin"/>
          </w:r>
          <w:r>
            <w:instrText xml:space="preserve"> PAGE   \* MERGEFORMAT </w:instrText>
          </w:r>
          <w:r>
            <w:fldChar w:fldCharType="separate"/>
          </w:r>
          <w:r w:rsidR="007E6E5B" w:rsidRPr="007E6E5B">
            <w:rPr>
              <w:noProof/>
              <w:color w:val="FFFFFF" w:themeColor="background1"/>
            </w:rPr>
            <w:t>1</w:t>
          </w:r>
          <w:r>
            <w:rPr>
              <w:noProof/>
              <w:color w:val="FFFFFF" w:themeColor="background1"/>
            </w:rPr>
            <w:fldChar w:fldCharType="end"/>
          </w:r>
          <w:r>
            <w:rPr>
              <w:noProof/>
              <w:color w:val="FFFFFF" w:themeColor="background1"/>
            </w:rPr>
            <w:t xml:space="preserve"> of </w:t>
          </w:r>
          <w:fldSimple w:instr=" NUMPAGES  \* MERGEFORMAT ">
            <w:r w:rsidR="007E6E5B" w:rsidRPr="007E6E5B">
              <w:rPr>
                <w:noProof/>
                <w:color w:val="FFFFFF" w:themeColor="background1"/>
              </w:rPr>
              <w:t>1</w:t>
            </w:r>
          </w:fldSimple>
        </w:p>
      </w:tc>
    </w:tr>
  </w:tbl>
  <w:p w:rsidR="006C06BA" w:rsidRDefault="006C0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C38" w:rsidRDefault="00632C38" w:rsidP="00905605">
      <w:pPr>
        <w:spacing w:after="0" w:line="240" w:lineRule="auto"/>
      </w:pPr>
      <w:r>
        <w:separator/>
      </w:r>
    </w:p>
  </w:footnote>
  <w:footnote w:type="continuationSeparator" w:id="0">
    <w:p w:rsidR="00632C38" w:rsidRDefault="00632C38"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A" w:rsidRDefault="006C06BA" w:rsidP="00905605">
    <w:pPr>
      <w:pStyle w:val="Header"/>
      <w:jc w:val="center"/>
    </w:pPr>
    <w:r>
      <w:rPr>
        <w:noProof/>
      </w:rPr>
      <w:drawing>
        <wp:inline distT="0" distB="0" distL="0" distR="0" wp14:anchorId="2233CCAC" wp14:editId="383FA9E4">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9"/>
  </w:num>
  <w:num w:numId="5">
    <w:abstractNumId w:val="10"/>
  </w:num>
  <w:num w:numId="6">
    <w:abstractNumId w:val="15"/>
  </w:num>
  <w:num w:numId="7">
    <w:abstractNumId w:val="2"/>
  </w:num>
  <w:num w:numId="8">
    <w:abstractNumId w:val="14"/>
  </w:num>
  <w:num w:numId="9">
    <w:abstractNumId w:val="0"/>
  </w:num>
  <w:num w:numId="10">
    <w:abstractNumId w:val="5"/>
  </w:num>
  <w:num w:numId="11">
    <w:abstractNumId w:val="13"/>
  </w:num>
  <w:num w:numId="12">
    <w:abstractNumId w:val="11"/>
  </w:num>
  <w:num w:numId="13">
    <w:abstractNumId w:val="3"/>
  </w:num>
  <w:num w:numId="14">
    <w:abstractNumId w:val="8"/>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ocumentProtection w:edit="forms" w:enforcement="1" w:cryptProviderType="rsaFull" w:cryptAlgorithmClass="hash" w:cryptAlgorithmType="typeAny" w:cryptAlgorithmSid="4" w:cryptSpinCount="100000" w:hash="IFS9+4HJu1AftqcfhgqduhytVKk=" w:salt="xvuMq0nEX2eb1AwAyq7Oo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5F7"/>
    <w:rsid w:val="00044371"/>
    <w:rsid w:val="0005233C"/>
    <w:rsid w:val="00064F3F"/>
    <w:rsid w:val="00096EDE"/>
    <w:rsid w:val="00104E9B"/>
    <w:rsid w:val="00130B10"/>
    <w:rsid w:val="00153EA3"/>
    <w:rsid w:val="00157CE2"/>
    <w:rsid w:val="001828EA"/>
    <w:rsid w:val="00187431"/>
    <w:rsid w:val="00191D7B"/>
    <w:rsid w:val="00194A44"/>
    <w:rsid w:val="001C2447"/>
    <w:rsid w:val="001F3C3E"/>
    <w:rsid w:val="00222BC1"/>
    <w:rsid w:val="00314AD4"/>
    <w:rsid w:val="00332E1E"/>
    <w:rsid w:val="00392854"/>
    <w:rsid w:val="003976FB"/>
    <w:rsid w:val="003F3BCE"/>
    <w:rsid w:val="00444CC4"/>
    <w:rsid w:val="004505F7"/>
    <w:rsid w:val="0048155D"/>
    <w:rsid w:val="004D6D18"/>
    <w:rsid w:val="00501877"/>
    <w:rsid w:val="00534EB8"/>
    <w:rsid w:val="005432D7"/>
    <w:rsid w:val="005809FF"/>
    <w:rsid w:val="005C40ED"/>
    <w:rsid w:val="005D1CD5"/>
    <w:rsid w:val="00632C38"/>
    <w:rsid w:val="006936F8"/>
    <w:rsid w:val="006B777C"/>
    <w:rsid w:val="006C06BA"/>
    <w:rsid w:val="006D3B86"/>
    <w:rsid w:val="006F5D0A"/>
    <w:rsid w:val="00734B78"/>
    <w:rsid w:val="00750AE1"/>
    <w:rsid w:val="00763A20"/>
    <w:rsid w:val="007A1854"/>
    <w:rsid w:val="007B2880"/>
    <w:rsid w:val="007E6E5B"/>
    <w:rsid w:val="008256DA"/>
    <w:rsid w:val="00826461"/>
    <w:rsid w:val="00860E4F"/>
    <w:rsid w:val="00867EA0"/>
    <w:rsid w:val="0088581D"/>
    <w:rsid w:val="008A1415"/>
    <w:rsid w:val="008D627D"/>
    <w:rsid w:val="008F39CE"/>
    <w:rsid w:val="008F4D96"/>
    <w:rsid w:val="008F7A7A"/>
    <w:rsid w:val="00905605"/>
    <w:rsid w:val="009320AC"/>
    <w:rsid w:val="009701AF"/>
    <w:rsid w:val="009B3784"/>
    <w:rsid w:val="009C38AC"/>
    <w:rsid w:val="009E35CB"/>
    <w:rsid w:val="00A01A3E"/>
    <w:rsid w:val="00A034A6"/>
    <w:rsid w:val="00A10C1D"/>
    <w:rsid w:val="00A319C8"/>
    <w:rsid w:val="00AA2742"/>
    <w:rsid w:val="00AB30B3"/>
    <w:rsid w:val="00AD6C38"/>
    <w:rsid w:val="00AE6C7E"/>
    <w:rsid w:val="00AF030B"/>
    <w:rsid w:val="00B3295D"/>
    <w:rsid w:val="00B90C16"/>
    <w:rsid w:val="00B93758"/>
    <w:rsid w:val="00BE3193"/>
    <w:rsid w:val="00C15E85"/>
    <w:rsid w:val="00C4226B"/>
    <w:rsid w:val="00C50277"/>
    <w:rsid w:val="00C85982"/>
    <w:rsid w:val="00C9449A"/>
    <w:rsid w:val="00D55920"/>
    <w:rsid w:val="00D72058"/>
    <w:rsid w:val="00D839E9"/>
    <w:rsid w:val="00D92457"/>
    <w:rsid w:val="00DE30FD"/>
    <w:rsid w:val="00DE5723"/>
    <w:rsid w:val="00DE75D7"/>
    <w:rsid w:val="00DF4C79"/>
    <w:rsid w:val="00E03587"/>
    <w:rsid w:val="00E4549C"/>
    <w:rsid w:val="00E721A6"/>
    <w:rsid w:val="00E8068A"/>
    <w:rsid w:val="00E81CC7"/>
    <w:rsid w:val="00E8777C"/>
    <w:rsid w:val="00EA44B4"/>
    <w:rsid w:val="00EA7DAB"/>
    <w:rsid w:val="00EB5024"/>
    <w:rsid w:val="00EC54F5"/>
    <w:rsid w:val="00ED52EE"/>
    <w:rsid w:val="00EE0CD2"/>
    <w:rsid w:val="00EE1CB2"/>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h.edu/finance/Doc_Ref/Dept%20IDC%20worksheet.x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C96FB-68D7-4BA8-8EDC-60B7D3DF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1</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4</cp:revision>
  <dcterms:created xsi:type="dcterms:W3CDTF">2012-02-21T15:18:00Z</dcterms:created>
  <dcterms:modified xsi:type="dcterms:W3CDTF">2014-04-22T21:36:00Z</dcterms:modified>
</cp:coreProperties>
</file>