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64" w:rsidRDefault="00DC410D" w:rsidP="003A0CE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C410D">
        <w:rPr>
          <w:rFonts w:eastAsia="Times New Roman" w:cs="Times New Roman"/>
          <w:b/>
          <w:bCs/>
          <w:sz w:val="36"/>
          <w:szCs w:val="36"/>
        </w:rPr>
        <w:t xml:space="preserve">Salary Cap Limitations </w:t>
      </w:r>
    </w:p>
    <w:p w:rsidR="00A05E2F" w:rsidRDefault="008D25D7" w:rsidP="003A0CE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salary c</w:t>
      </w:r>
      <w:r w:rsidR="00F32292" w:rsidRPr="00F32292">
        <w:rPr>
          <w:rFonts w:eastAsia="Times New Roman" w:cs="Times New Roman"/>
          <w:szCs w:val="24"/>
        </w:rPr>
        <w:t xml:space="preserve">ap is defined as </w:t>
      </w:r>
      <w:r w:rsidR="00D564EF">
        <w:rPr>
          <w:rFonts w:eastAsia="Times New Roman" w:cs="Times New Roman"/>
          <w:szCs w:val="24"/>
        </w:rPr>
        <w:t>the</w:t>
      </w:r>
      <w:r w:rsidR="00D564EF" w:rsidRPr="00F32292">
        <w:rPr>
          <w:rFonts w:eastAsia="Times New Roman" w:cs="Times New Roman"/>
          <w:szCs w:val="24"/>
        </w:rPr>
        <w:t xml:space="preserve"> </w:t>
      </w:r>
      <w:r w:rsidR="00F32292" w:rsidRPr="00F32292">
        <w:rPr>
          <w:rFonts w:eastAsia="Times New Roman" w:cs="Times New Roman"/>
          <w:szCs w:val="24"/>
        </w:rPr>
        <w:t xml:space="preserve">maximum annual rate of </w:t>
      </w:r>
      <w:r>
        <w:rPr>
          <w:rFonts w:eastAsia="Times New Roman" w:cs="Times New Roman"/>
          <w:szCs w:val="24"/>
        </w:rPr>
        <w:t>s</w:t>
      </w:r>
      <w:r w:rsidR="00F32292" w:rsidRPr="00F32292">
        <w:rPr>
          <w:rFonts w:eastAsia="Times New Roman" w:cs="Times New Roman"/>
          <w:szCs w:val="24"/>
        </w:rPr>
        <w:t>alary for full-time effort that can be charged to an award</w:t>
      </w:r>
      <w:r w:rsidR="00F32292">
        <w:rPr>
          <w:rFonts w:eastAsia="Times New Roman" w:cs="Times New Roman"/>
          <w:szCs w:val="24"/>
        </w:rPr>
        <w:t xml:space="preserve">. </w:t>
      </w:r>
      <w:r w:rsidR="00F32292" w:rsidRPr="00F32292">
        <w:rPr>
          <w:rFonts w:eastAsia="Times New Roman" w:cs="Times New Roman"/>
          <w:szCs w:val="24"/>
        </w:rPr>
        <w:t>The Department of Health and Human Services (DHHS)</w:t>
      </w:r>
      <w:r w:rsidR="00243C1D">
        <w:rPr>
          <w:rFonts w:eastAsia="Times New Roman" w:cs="Times New Roman"/>
          <w:szCs w:val="24"/>
        </w:rPr>
        <w:t>,</w:t>
      </w:r>
      <w:r w:rsidR="00F32292">
        <w:rPr>
          <w:rFonts w:eastAsia="Times New Roman" w:cs="Times New Roman"/>
          <w:szCs w:val="24"/>
        </w:rPr>
        <w:t xml:space="preserve"> </w:t>
      </w:r>
      <w:r w:rsidR="00C31E75" w:rsidRPr="00C31E75">
        <w:rPr>
          <w:rFonts w:eastAsia="Times New Roman" w:cs="Times New Roman"/>
          <w:szCs w:val="24"/>
        </w:rPr>
        <w:t>which includes the NIH (National Institutes of Health)</w:t>
      </w:r>
      <w:r w:rsidR="00243C1D">
        <w:rPr>
          <w:rFonts w:eastAsia="Times New Roman" w:cs="Times New Roman"/>
          <w:szCs w:val="24"/>
        </w:rPr>
        <w:t>,</w:t>
      </w:r>
      <w:r w:rsidR="00C31E75" w:rsidRPr="00C31E75">
        <w:rPr>
          <w:rFonts w:eastAsia="Times New Roman" w:cs="Times New Roman"/>
          <w:szCs w:val="24"/>
        </w:rPr>
        <w:t xml:space="preserve"> is governed by regulations establishing a maximum salary that may be </w:t>
      </w:r>
      <w:r w:rsidR="00F32292">
        <w:rPr>
          <w:rFonts w:eastAsia="Times New Roman" w:cs="Times New Roman"/>
          <w:szCs w:val="24"/>
        </w:rPr>
        <w:t>paid</w:t>
      </w:r>
      <w:r w:rsidR="00C31E75" w:rsidRPr="00C31E75">
        <w:rPr>
          <w:rFonts w:eastAsia="Times New Roman" w:cs="Times New Roman"/>
          <w:szCs w:val="24"/>
        </w:rPr>
        <w:t xml:space="preserve"> to a</w:t>
      </w:r>
      <w:r w:rsidR="00A40EBC">
        <w:rPr>
          <w:rFonts w:eastAsia="Times New Roman" w:cs="Times New Roman"/>
          <w:szCs w:val="24"/>
        </w:rPr>
        <w:t>n</w:t>
      </w:r>
      <w:r w:rsidR="00C31E75" w:rsidRPr="00C31E75">
        <w:rPr>
          <w:rFonts w:eastAsia="Times New Roman" w:cs="Times New Roman"/>
          <w:szCs w:val="24"/>
        </w:rPr>
        <w:t xml:space="preserve"> </w:t>
      </w:r>
      <w:r w:rsidR="00A40EBC">
        <w:rPr>
          <w:rFonts w:eastAsia="Times New Roman" w:cs="Times New Roman"/>
          <w:szCs w:val="24"/>
        </w:rPr>
        <w:t>individual working on an award</w:t>
      </w:r>
      <w:r w:rsidR="00F32292">
        <w:rPr>
          <w:rFonts w:eastAsia="Times New Roman" w:cs="Times New Roman"/>
          <w:szCs w:val="24"/>
        </w:rPr>
        <w:t xml:space="preserve">. </w:t>
      </w:r>
      <w:r w:rsidR="00A05E2F" w:rsidRPr="00A0033A">
        <w:t>Actual salary paid to an individual is not constrained by the salary cap</w:t>
      </w:r>
      <w:r w:rsidR="00D564EF">
        <w:t>,</w:t>
      </w:r>
      <w:r w:rsidR="00A05E2F">
        <w:t xml:space="preserve"> but t</w:t>
      </w:r>
      <w:r w:rsidR="00A05E2F" w:rsidRPr="00A05E2F">
        <w:t>he portion of salary in excess of the rate cap</w:t>
      </w:r>
      <w:r w:rsidR="00F23144">
        <w:t xml:space="preserve"> is not allowed</w:t>
      </w:r>
      <w:r w:rsidR="00A05E2F" w:rsidRPr="00A05E2F">
        <w:t xml:space="preserve"> on </w:t>
      </w:r>
      <w:r w:rsidR="00F23144">
        <w:t xml:space="preserve">the </w:t>
      </w:r>
      <w:r w:rsidR="00A05E2F">
        <w:t>award.</w:t>
      </w:r>
      <w:r w:rsidR="00A05E2F" w:rsidRPr="00A05E2F">
        <w:rPr>
          <w:rFonts w:eastAsia="Times New Roman" w:cs="Times New Roman"/>
          <w:szCs w:val="24"/>
        </w:rPr>
        <w:t xml:space="preserve"> </w:t>
      </w:r>
    </w:p>
    <w:p w:rsidR="00046C20" w:rsidRDefault="00A40EBC" w:rsidP="00046C20">
      <w:pPr>
        <w:spacing w:after="0" w:line="240" w:lineRule="auto"/>
        <w:jc w:val="center"/>
        <w:rPr>
          <w:rFonts w:eastAsia="Times New Roman" w:cs="Times New Roman"/>
          <w:color w:val="FF0000"/>
          <w:szCs w:val="24"/>
        </w:rPr>
      </w:pPr>
      <w:r w:rsidRPr="00A40EBC">
        <w:rPr>
          <w:rFonts w:eastAsia="Times New Roman" w:cs="Times New Roman"/>
          <w:szCs w:val="24"/>
        </w:rPr>
        <w:t xml:space="preserve">Effective January 10, 2016, the NIH </w:t>
      </w:r>
      <w:r w:rsidR="00D564EF">
        <w:rPr>
          <w:rFonts w:eastAsia="Times New Roman" w:cs="Times New Roman"/>
          <w:szCs w:val="24"/>
        </w:rPr>
        <w:t>(</w:t>
      </w:r>
      <w:r w:rsidR="008D25D7">
        <w:rPr>
          <w:rFonts w:eastAsia="Times New Roman" w:cs="Times New Roman"/>
          <w:szCs w:val="24"/>
        </w:rPr>
        <w:t xml:space="preserve">and </w:t>
      </w:r>
      <w:r w:rsidR="00D564EF">
        <w:rPr>
          <w:rFonts w:eastAsia="Times New Roman" w:cs="Times New Roman"/>
          <w:szCs w:val="24"/>
        </w:rPr>
        <w:t xml:space="preserve">all </w:t>
      </w:r>
      <w:r w:rsidR="008D25D7">
        <w:rPr>
          <w:rFonts w:eastAsia="Times New Roman" w:cs="Times New Roman"/>
          <w:szCs w:val="24"/>
        </w:rPr>
        <w:t>other DHHS agenc</w:t>
      </w:r>
      <w:r w:rsidR="00D564EF">
        <w:rPr>
          <w:rFonts w:eastAsia="Times New Roman" w:cs="Times New Roman"/>
          <w:szCs w:val="24"/>
        </w:rPr>
        <w:t>y)</w:t>
      </w:r>
      <w:r w:rsidR="008D25D7">
        <w:rPr>
          <w:rFonts w:eastAsia="Times New Roman" w:cs="Times New Roman"/>
          <w:szCs w:val="24"/>
        </w:rPr>
        <w:t xml:space="preserve"> </w:t>
      </w:r>
      <w:r w:rsidRPr="00A40EBC">
        <w:rPr>
          <w:rFonts w:eastAsia="Times New Roman" w:cs="Times New Roman"/>
          <w:szCs w:val="24"/>
        </w:rPr>
        <w:t xml:space="preserve">salary cap </w:t>
      </w:r>
      <w:r w:rsidR="00D564EF">
        <w:rPr>
          <w:rFonts w:eastAsia="Times New Roman" w:cs="Times New Roman"/>
          <w:szCs w:val="24"/>
        </w:rPr>
        <w:t xml:space="preserve">has </w:t>
      </w:r>
      <w:r w:rsidRPr="00A40EBC">
        <w:rPr>
          <w:rFonts w:eastAsia="Times New Roman" w:cs="Times New Roman"/>
          <w:szCs w:val="24"/>
        </w:rPr>
        <w:t>increase</w:t>
      </w:r>
      <w:r w:rsidR="00D564EF">
        <w:rPr>
          <w:rFonts w:eastAsia="Times New Roman" w:cs="Times New Roman"/>
          <w:szCs w:val="24"/>
        </w:rPr>
        <w:t>d</w:t>
      </w:r>
      <w:r w:rsidRPr="00A40EBC">
        <w:rPr>
          <w:rFonts w:eastAsia="Times New Roman" w:cs="Times New Roman"/>
          <w:szCs w:val="24"/>
        </w:rPr>
        <w:t xml:space="preserve"> from $183,300 to </w:t>
      </w:r>
      <w:r w:rsidRPr="00046C20">
        <w:rPr>
          <w:rFonts w:eastAsia="Times New Roman" w:cs="Times New Roman"/>
          <w:i/>
          <w:color w:val="FF0000"/>
          <w:sz w:val="30"/>
          <w:szCs w:val="30"/>
          <w:u w:val="single"/>
        </w:rPr>
        <w:t>$185,100</w:t>
      </w:r>
      <w:r w:rsidR="00782A4E" w:rsidRPr="00046C20">
        <w:rPr>
          <w:rFonts w:eastAsia="Times New Roman" w:cs="Times New Roman"/>
          <w:i/>
          <w:color w:val="FF0000"/>
          <w:sz w:val="30"/>
          <w:szCs w:val="30"/>
          <w:u w:val="single"/>
        </w:rPr>
        <w:t xml:space="preserve"> annually </w:t>
      </w:r>
      <w:r w:rsidR="00782A4E" w:rsidRPr="00F23144">
        <w:rPr>
          <w:rFonts w:eastAsia="Times New Roman" w:cs="Times New Roman"/>
          <w:b/>
          <w:i/>
          <w:color w:val="FF0000"/>
          <w:sz w:val="30"/>
          <w:szCs w:val="30"/>
          <w:u w:val="single"/>
        </w:rPr>
        <w:t>or</w:t>
      </w:r>
      <w:r w:rsidR="00782A4E" w:rsidRPr="00046C20">
        <w:rPr>
          <w:rFonts w:eastAsia="Times New Roman" w:cs="Times New Roman"/>
          <w:i/>
          <w:color w:val="FF0000"/>
          <w:sz w:val="30"/>
          <w:szCs w:val="30"/>
          <w:u w:val="single"/>
        </w:rPr>
        <w:t xml:space="preserve"> $15,</w:t>
      </w:r>
      <w:r w:rsidR="00545B4F">
        <w:rPr>
          <w:rFonts w:eastAsia="Times New Roman" w:cs="Times New Roman"/>
          <w:i/>
          <w:color w:val="FF0000"/>
          <w:sz w:val="30"/>
          <w:szCs w:val="30"/>
          <w:u w:val="single"/>
        </w:rPr>
        <w:t>425</w:t>
      </w:r>
      <w:r w:rsidR="00782A4E" w:rsidRPr="00046C20">
        <w:rPr>
          <w:rFonts w:eastAsia="Times New Roman" w:cs="Times New Roman"/>
          <w:i/>
          <w:color w:val="FF0000"/>
          <w:sz w:val="30"/>
          <w:szCs w:val="30"/>
          <w:u w:val="single"/>
        </w:rPr>
        <w:t>.00 monthly.</w:t>
      </w:r>
    </w:p>
    <w:p w:rsidR="00046C20" w:rsidRDefault="00046C20" w:rsidP="008D25D7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:rsidR="00A05E2F" w:rsidRPr="008D25D7" w:rsidRDefault="008D25D7" w:rsidP="008D25D7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Detail</w:t>
      </w:r>
      <w:r w:rsidR="00D564EF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about the change can be found </w:t>
      </w:r>
      <w:r w:rsidR="00D564EF">
        <w:rPr>
          <w:rFonts w:eastAsia="Times New Roman" w:cs="Times New Roman"/>
          <w:szCs w:val="24"/>
        </w:rPr>
        <w:t xml:space="preserve">in </w:t>
      </w:r>
      <w:r w:rsidR="00A40EBC">
        <w:rPr>
          <w:rFonts w:eastAsia="Times New Roman" w:cs="Times New Roman"/>
          <w:szCs w:val="24"/>
        </w:rPr>
        <w:t xml:space="preserve">NIH Notice </w:t>
      </w:r>
      <w:hyperlink r:id="rId5" w:history="1">
        <w:r w:rsidR="00A40EBC" w:rsidRPr="00A40EBC">
          <w:rPr>
            <w:rStyle w:val="Hyperlink"/>
            <w:rFonts w:eastAsia="Times New Roman" w:cs="Times New Roman"/>
            <w:szCs w:val="24"/>
          </w:rPr>
          <w:t>#NOT/-OD-16-045</w:t>
        </w:r>
      </w:hyperlink>
      <w:r>
        <w:rPr>
          <w:rFonts w:eastAsia="Times New Roman" w:cs="Times New Roman"/>
          <w:szCs w:val="24"/>
        </w:rPr>
        <w:t xml:space="preserve">. </w:t>
      </w:r>
      <w:r w:rsidR="00A05E2F" w:rsidRPr="00A05E2F">
        <w:t>The Department of Health and Human Services (DHHS)</w:t>
      </w:r>
      <w:r w:rsidR="00A05E2F">
        <w:t xml:space="preserve"> agencies subject to the cap</w:t>
      </w:r>
      <w:r>
        <w:t xml:space="preserve"> </w:t>
      </w:r>
      <w:r w:rsidR="00D564EF">
        <w:t>include</w:t>
      </w:r>
      <w:r w:rsidR="00A05E2F">
        <w:t>:</w:t>
      </w:r>
    </w:p>
    <w:p w:rsidR="00DC410D" w:rsidRDefault="00DC410D" w:rsidP="008D25D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 w:rsidRPr="00DC410D">
        <w:rPr>
          <w:rFonts w:eastAsia="Times New Roman" w:cs="Times New Roman"/>
          <w:szCs w:val="24"/>
        </w:rPr>
        <w:t xml:space="preserve">The National Institutes of Health (NIH), </w:t>
      </w:r>
    </w:p>
    <w:p w:rsidR="00DC410D" w:rsidRDefault="00DC410D" w:rsidP="00DC41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</w:t>
      </w:r>
      <w:r w:rsidRPr="00DC410D">
        <w:rPr>
          <w:rFonts w:eastAsia="Times New Roman" w:cs="Times New Roman"/>
          <w:szCs w:val="24"/>
        </w:rPr>
        <w:t xml:space="preserve">Substance Abuse and Mental Health Services Administration (SAMHSA), </w:t>
      </w:r>
    </w:p>
    <w:p w:rsidR="00DC410D" w:rsidRDefault="00DC410D" w:rsidP="00DC41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</w:t>
      </w:r>
      <w:r w:rsidRPr="00DC410D">
        <w:rPr>
          <w:rFonts w:eastAsia="Times New Roman" w:cs="Times New Roman"/>
          <w:szCs w:val="24"/>
        </w:rPr>
        <w:t xml:space="preserve"> Agency for Healthcare Research and Quality (AHRQ) </w:t>
      </w:r>
    </w:p>
    <w:p w:rsidR="00DC410D" w:rsidRDefault="00DC410D" w:rsidP="00DC41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</w:t>
      </w:r>
      <w:r w:rsidRPr="00DC410D">
        <w:rPr>
          <w:rFonts w:eastAsia="Times New Roman" w:cs="Times New Roman"/>
          <w:szCs w:val="24"/>
        </w:rPr>
        <w:t xml:space="preserve">Center for Disease Control (CDC) </w:t>
      </w:r>
    </w:p>
    <w:p w:rsidR="00DC410D" w:rsidRPr="00DC410D" w:rsidRDefault="00DC410D" w:rsidP="00DC410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</w:t>
      </w:r>
      <w:r w:rsidRPr="00DC410D">
        <w:rPr>
          <w:rFonts w:eastAsia="Times New Roman" w:cs="Times New Roman"/>
          <w:szCs w:val="24"/>
        </w:rPr>
        <w:t xml:space="preserve"> Health Resources and Services Administration (HRSA)</w:t>
      </w:r>
    </w:p>
    <w:p w:rsidR="00067A39" w:rsidRPr="00A4762A" w:rsidRDefault="008D25D7" w:rsidP="00067A39">
      <w:pPr>
        <w:rPr>
          <w:b/>
        </w:rPr>
      </w:pPr>
      <w:r w:rsidRPr="00A4762A">
        <w:rPr>
          <w:rFonts w:eastAsia="Times New Roman" w:cs="Times New Roman"/>
          <w:b/>
          <w:szCs w:val="24"/>
        </w:rPr>
        <w:t>How does the Cap Work</w:t>
      </w:r>
    </w:p>
    <w:p w:rsidR="00545B4F" w:rsidRDefault="008D25D7" w:rsidP="00545B4F">
      <w:pPr>
        <w:spacing w:before="100" w:beforeAutospacing="1" w:after="100" w:afterAutospacing="1" w:line="240" w:lineRule="auto"/>
      </w:pPr>
      <w:r w:rsidRPr="008D25D7">
        <w:t xml:space="preserve">The salary rate cap only affects employees whose </w:t>
      </w:r>
      <w:r w:rsidR="00F23144">
        <w:t>Institutional Base Salary (IBS)</w:t>
      </w:r>
      <w:r w:rsidRPr="008D25D7">
        <w:t xml:space="preserve"> is above the </w:t>
      </w:r>
      <w:r w:rsidR="00A4762A">
        <w:t>cap</w:t>
      </w:r>
      <w:r w:rsidRPr="008D25D7">
        <w:t xml:space="preserve">, and who charge some or all of their salary to </w:t>
      </w:r>
      <w:r w:rsidR="00A4762A">
        <w:t>these awards</w:t>
      </w:r>
      <w:r>
        <w:t xml:space="preserve">.  </w:t>
      </w:r>
      <w:r w:rsidR="00A4762A">
        <w:t xml:space="preserve">For these </w:t>
      </w:r>
      <w:r w:rsidR="001C35B4">
        <w:t>employees</w:t>
      </w:r>
      <w:r w:rsidR="00A4762A">
        <w:t>, the</w:t>
      </w:r>
      <w:r>
        <w:t xml:space="preserve"> amount of salary that can be charged to the </w:t>
      </w:r>
      <w:r w:rsidR="00067A39" w:rsidRPr="00A0033A">
        <w:t xml:space="preserve">grant is based on the </w:t>
      </w:r>
      <w:r w:rsidR="00067A39" w:rsidRPr="008D25D7">
        <w:rPr>
          <w:i/>
          <w:u w:val="single"/>
        </w:rPr>
        <w:t>percentage of effort devoted to the grant</w:t>
      </w:r>
      <w:r>
        <w:t xml:space="preserve"> </w:t>
      </w:r>
      <w:r w:rsidR="00067A39" w:rsidRPr="00A0033A">
        <w:t xml:space="preserve">multiplied </w:t>
      </w:r>
      <w:r w:rsidR="00067A39">
        <w:t>by the salary cap</w:t>
      </w:r>
      <w:r w:rsidR="00A4762A">
        <w:t xml:space="preserve">. </w:t>
      </w:r>
      <w:r w:rsidRPr="008D25D7">
        <w:t xml:space="preserve">The portion of salary in excess of the cap is not allowable </w:t>
      </w:r>
      <w:r w:rsidR="001C35B4">
        <w:t>on the grant</w:t>
      </w:r>
      <w:r w:rsidR="00A4762A">
        <w:t xml:space="preserve">.  </w:t>
      </w:r>
      <w:r w:rsidR="006A25BC" w:rsidRPr="006A25BC">
        <w:t>The PI should ensure that adequate non-sponsored funding is available to cove</w:t>
      </w:r>
      <w:r w:rsidR="00545B4F">
        <w:t xml:space="preserve">r any cost in excess of the cap. Below are examples of how the cap is calculated and handled at </w:t>
      </w:r>
      <w:r w:rsidR="00D564EF">
        <w:t xml:space="preserve">the </w:t>
      </w:r>
      <w:r w:rsidR="00545B4F">
        <w:t xml:space="preserve">proposal, payroll and effort certification phases: </w:t>
      </w:r>
    </w:p>
    <w:p w:rsidR="00C254E1" w:rsidRDefault="008E45D2" w:rsidP="00632FE4">
      <w:pPr>
        <w:pStyle w:val="ListParagraph"/>
        <w:numPr>
          <w:ilvl w:val="0"/>
          <w:numId w:val="2"/>
        </w:numPr>
        <w:rPr>
          <w:i/>
        </w:rPr>
      </w:pPr>
      <w:r w:rsidRPr="00EA6C5C">
        <w:rPr>
          <w:b/>
          <w:i/>
          <w:u w:val="single"/>
        </w:rPr>
        <w:t>Proposal –</w:t>
      </w:r>
      <w:r>
        <w:t xml:space="preserve"> At the proposal stage the current cap should be used </w:t>
      </w:r>
      <w:r w:rsidRPr="008E45D2">
        <w:t xml:space="preserve">for calculating salary for any individual </w:t>
      </w:r>
      <w:proofErr w:type="gramStart"/>
      <w:r w:rsidRPr="008E45D2">
        <w:t>whose</w:t>
      </w:r>
      <w:proofErr w:type="gramEnd"/>
      <w:r w:rsidRPr="008E45D2">
        <w:t xml:space="preserve"> </w:t>
      </w:r>
      <w:r>
        <w:t xml:space="preserve">IBS (pay rate including </w:t>
      </w:r>
      <w:r w:rsidR="00D564EF">
        <w:t xml:space="preserve">any </w:t>
      </w:r>
      <w:r>
        <w:t>administrative stipend</w:t>
      </w:r>
      <w:r w:rsidR="00D564EF">
        <w:t>s</w:t>
      </w:r>
      <w:r>
        <w:t xml:space="preserve"> for Chair</w:t>
      </w:r>
      <w:r w:rsidR="00D564EF">
        <w:t xml:space="preserve">s, </w:t>
      </w:r>
      <w:r>
        <w:t>Dean</w:t>
      </w:r>
      <w:r w:rsidR="00D564EF">
        <w:t>s, etc.</w:t>
      </w:r>
      <w:r>
        <w:t>)</w:t>
      </w:r>
      <w:r w:rsidRPr="008E45D2">
        <w:t xml:space="preserve"> exceeds the cap. For instance, if Professor X has </w:t>
      </w:r>
      <w:r w:rsidR="001536CF">
        <w:t>an annual IBS</w:t>
      </w:r>
      <w:r w:rsidRPr="008E45D2">
        <w:t xml:space="preserve"> of $200,000, and proposes </w:t>
      </w:r>
      <w:r w:rsidR="00D564EF">
        <w:t xml:space="preserve">to </w:t>
      </w:r>
      <w:r w:rsidR="00480C08">
        <w:t>spend 50% of effort on a NIH</w:t>
      </w:r>
      <w:r w:rsidRPr="008E45D2">
        <w:t xml:space="preserve"> project, </w:t>
      </w:r>
      <w:r w:rsidR="00A11EB5">
        <w:t>then the amount of funding</w:t>
      </w:r>
      <w:r w:rsidRPr="008E45D2">
        <w:t xml:space="preserve"> request</w:t>
      </w:r>
      <w:r w:rsidR="00A11EB5">
        <w:t>ed</w:t>
      </w:r>
      <w:r w:rsidR="001536CF">
        <w:t>,</w:t>
      </w:r>
      <w:r w:rsidR="00A11EB5">
        <w:t xml:space="preserve"> </w:t>
      </w:r>
      <w:r w:rsidR="001536CF">
        <w:t>based on the cap, should be</w:t>
      </w:r>
      <w:r w:rsidR="00A11EB5">
        <w:t xml:space="preserve"> $92,550 (</w:t>
      </w:r>
      <w:r w:rsidRPr="008E45D2">
        <w:t>50% of $</w:t>
      </w:r>
      <w:r w:rsidR="00A11EB5">
        <w:t>185</w:t>
      </w:r>
      <w:r w:rsidRPr="008E45D2">
        <w:t>,</w:t>
      </w:r>
      <w:r w:rsidR="00A11EB5">
        <w:t>100)</w:t>
      </w:r>
      <w:r w:rsidR="00EA6C5C">
        <w:t xml:space="preserve"> instead of</w:t>
      </w:r>
      <w:r w:rsidR="001536CF">
        <w:t xml:space="preserve"> </w:t>
      </w:r>
      <w:r w:rsidR="00EA6C5C">
        <w:t xml:space="preserve">$100,000 which is </w:t>
      </w:r>
      <w:r w:rsidRPr="00EA6C5C">
        <w:rPr>
          <w:i/>
        </w:rPr>
        <w:t>50%</w:t>
      </w:r>
      <w:r w:rsidR="00EA6C5C">
        <w:rPr>
          <w:i/>
        </w:rPr>
        <w:t xml:space="preserve"> of the</w:t>
      </w:r>
      <w:r w:rsidR="00480C08" w:rsidRPr="00EA6C5C">
        <w:rPr>
          <w:i/>
        </w:rPr>
        <w:t xml:space="preserve"> IBS.  </w:t>
      </w:r>
    </w:p>
    <w:p w:rsidR="00EA6C5C" w:rsidRPr="00EA6C5C" w:rsidRDefault="00EA6C5C" w:rsidP="00EA6C5C">
      <w:pPr>
        <w:rPr>
          <w:i/>
        </w:rPr>
      </w:pPr>
    </w:p>
    <w:p w:rsidR="00782A4E" w:rsidRDefault="008E45D2" w:rsidP="00C254E1">
      <w:pPr>
        <w:pStyle w:val="ListParagraph"/>
        <w:numPr>
          <w:ilvl w:val="0"/>
          <w:numId w:val="2"/>
        </w:numPr>
      </w:pPr>
      <w:r w:rsidRPr="00046C20">
        <w:rPr>
          <w:b/>
          <w:i/>
          <w:u w:val="single"/>
        </w:rPr>
        <w:t>Payroll</w:t>
      </w:r>
      <w:r w:rsidR="00C254E1">
        <w:t xml:space="preserve"> – For </w:t>
      </w:r>
      <w:r w:rsidR="00DC79E1">
        <w:t>administrator processing payroll</w:t>
      </w:r>
      <w:r w:rsidR="00C254E1">
        <w:t xml:space="preserve">, the key to managing the cap is to ensure </w:t>
      </w:r>
      <w:r w:rsidR="00D564EF">
        <w:t xml:space="preserve">that the </w:t>
      </w:r>
      <w:r w:rsidR="00DC79E1">
        <w:t xml:space="preserve">effort </w:t>
      </w:r>
      <w:r w:rsidR="00565715">
        <w:t xml:space="preserve">amount </w:t>
      </w:r>
      <w:r w:rsidR="00DC79E1">
        <w:t xml:space="preserve">to be </w:t>
      </w:r>
      <w:r w:rsidR="00565715">
        <w:t xml:space="preserve">charged on the grant is converted to payroll distribution for the position request </w:t>
      </w:r>
      <w:r w:rsidR="00C254E1">
        <w:t>(</w:t>
      </w:r>
      <w:proofErr w:type="spellStart"/>
      <w:r w:rsidR="00C254E1">
        <w:t>ePRF</w:t>
      </w:r>
      <w:proofErr w:type="spellEnd"/>
      <w:r w:rsidR="00C254E1">
        <w:t xml:space="preserve">) </w:t>
      </w:r>
      <w:r w:rsidR="00565715">
        <w:t xml:space="preserve">and </w:t>
      </w:r>
      <w:r w:rsidR="00D564EF">
        <w:t xml:space="preserve">to </w:t>
      </w:r>
      <w:r w:rsidR="00565715">
        <w:t>verify that the</w:t>
      </w:r>
      <w:r w:rsidR="00C254E1">
        <w:t xml:space="preserve"> maximum</w:t>
      </w:r>
      <w:r w:rsidR="00565715">
        <w:t xml:space="preserve"> amount that will be paid each month </w:t>
      </w:r>
      <w:r w:rsidR="00DC79E1">
        <w:t>from grant cost centers do not</w:t>
      </w:r>
      <w:r w:rsidR="00565715">
        <w:t xml:space="preserve"> exceed the </w:t>
      </w:r>
      <w:r w:rsidR="00C254E1" w:rsidRPr="00782A4E">
        <w:rPr>
          <w:i/>
          <w:u w:val="single"/>
        </w:rPr>
        <w:t>monthly amount</w:t>
      </w:r>
      <w:r w:rsidR="00C254E1">
        <w:t xml:space="preserve"> of the cap.  For instance</w:t>
      </w:r>
      <w:r w:rsidR="00D564EF">
        <w:t>,</w:t>
      </w:r>
      <w:r w:rsidR="00C254E1">
        <w:t xml:space="preserve"> </w:t>
      </w:r>
      <w:r w:rsidR="00C254E1" w:rsidRPr="00C254E1">
        <w:t xml:space="preserve">if Professor X has salary rate of $200,000, and proposes </w:t>
      </w:r>
      <w:r w:rsidR="00073BC6">
        <w:t>to</w:t>
      </w:r>
      <w:r w:rsidR="00C254E1" w:rsidRPr="00C254E1">
        <w:t xml:space="preserve"> spend 50% of effort on an NIH project, </w:t>
      </w:r>
      <w:r w:rsidR="00782A4E">
        <w:t xml:space="preserve">and 50% on </w:t>
      </w:r>
      <w:r w:rsidR="00565715">
        <w:t>another grant</w:t>
      </w:r>
      <w:r w:rsidR="00782A4E">
        <w:t xml:space="preserve">, </w:t>
      </w:r>
      <w:r w:rsidR="00073BC6">
        <w:t>then t</w:t>
      </w:r>
      <w:r w:rsidR="00782A4E">
        <w:t xml:space="preserve">he </w:t>
      </w:r>
      <w:r w:rsidR="00565715">
        <w:t>payroll</w:t>
      </w:r>
      <w:r w:rsidR="00782A4E">
        <w:t xml:space="preserve"> distribution</w:t>
      </w:r>
      <w:r w:rsidR="00073BC6">
        <w:t xml:space="preserve"> (ePRF) should be the following</w:t>
      </w:r>
      <w:r w:rsidR="00782A4E">
        <w:t>:</w:t>
      </w:r>
    </w:p>
    <w:p w:rsidR="00782A4E" w:rsidRDefault="00782A4E" w:rsidP="00782A4E">
      <w:pPr>
        <w:pStyle w:val="ListParagrap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298"/>
        <w:gridCol w:w="1312"/>
        <w:gridCol w:w="4945"/>
      </w:tblGrid>
      <w:tr w:rsidR="00DC79E1" w:rsidRPr="00DC79E1" w:rsidTr="00DC79E1">
        <w:trPr>
          <w:trHeight w:val="300"/>
        </w:trPr>
        <w:tc>
          <w:tcPr>
            <w:tcW w:w="179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DC79E1">
              <w:rPr>
                <w:rFonts w:ascii="Calibri" w:eastAsia="Courier New" w:hAnsi="Calibri" w:cs="Calibri"/>
                <w:color w:val="000000"/>
              </w:rPr>
              <w:t>NIH Grant</w:t>
            </w:r>
          </w:p>
        </w:tc>
        <w:tc>
          <w:tcPr>
            <w:tcW w:w="1298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 50% Effort</w:t>
            </w:r>
          </w:p>
        </w:tc>
        <w:tc>
          <w:tcPr>
            <w:tcW w:w="1312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 $95,550</w:t>
            </w:r>
          </w:p>
        </w:tc>
        <w:tc>
          <w:tcPr>
            <w:tcW w:w="494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 45% ($95,550 / $200,000) payroll distribution</w:t>
            </w:r>
          </w:p>
        </w:tc>
      </w:tr>
      <w:tr w:rsidR="00DC79E1" w:rsidRPr="00DC79E1" w:rsidTr="00DC79E1">
        <w:trPr>
          <w:trHeight w:val="300"/>
        </w:trPr>
        <w:tc>
          <w:tcPr>
            <w:tcW w:w="179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DC79E1">
              <w:rPr>
                <w:rFonts w:ascii="Calibri" w:eastAsia="Courier New" w:hAnsi="Calibri" w:cs="Calibri"/>
                <w:color w:val="000000"/>
              </w:rPr>
              <w:t>Other Grant</w:t>
            </w:r>
          </w:p>
        </w:tc>
        <w:tc>
          <w:tcPr>
            <w:tcW w:w="1298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 50% Effort</w:t>
            </w:r>
          </w:p>
        </w:tc>
        <w:tc>
          <w:tcPr>
            <w:tcW w:w="1312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=$100,000</w:t>
            </w:r>
          </w:p>
        </w:tc>
        <w:tc>
          <w:tcPr>
            <w:tcW w:w="494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alibri" w:eastAsia="Times New Roman" w:hAnsi="Calibri" w:cs="Calibri"/>
                <w:color w:val="000000"/>
              </w:rPr>
            </w:pPr>
            <w:r w:rsidRPr="00DC79E1">
              <w:rPr>
                <w:rFonts w:ascii="Calibri" w:eastAsia="Times New Roman" w:hAnsi="Calibri" w:cs="Calibri"/>
                <w:color w:val="000000"/>
              </w:rPr>
              <w:t>= 50% ($100,000 / $200,000) payroll distribution</w:t>
            </w:r>
          </w:p>
        </w:tc>
      </w:tr>
      <w:tr w:rsidR="00DC79E1" w:rsidRPr="00DC79E1" w:rsidTr="00DC79E1">
        <w:trPr>
          <w:trHeight w:val="300"/>
        </w:trPr>
        <w:tc>
          <w:tcPr>
            <w:tcW w:w="179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DC79E1">
              <w:rPr>
                <w:rFonts w:ascii="Calibri" w:eastAsia="Courier New" w:hAnsi="Calibri" w:cs="Calibri"/>
                <w:color w:val="FF0000"/>
              </w:rPr>
              <w:lastRenderedPageBreak/>
              <w:t>Non-Grant</w:t>
            </w:r>
          </w:p>
        </w:tc>
        <w:tc>
          <w:tcPr>
            <w:tcW w:w="1298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FF0000"/>
              </w:rPr>
            </w:pPr>
            <w:r w:rsidRPr="00DC79E1">
              <w:rPr>
                <w:rFonts w:ascii="Calibri" w:eastAsia="Times New Roman" w:hAnsi="Calibri" w:cs="Calibri"/>
                <w:color w:val="FF0000"/>
              </w:rPr>
              <w:t>=  0% Effort</w:t>
            </w:r>
          </w:p>
        </w:tc>
        <w:tc>
          <w:tcPr>
            <w:tcW w:w="1312" w:type="dxa"/>
            <w:noWrap/>
            <w:vAlign w:val="bottom"/>
            <w:hideMark/>
          </w:tcPr>
          <w:p w:rsidR="00DC79E1" w:rsidRPr="00DC79E1" w:rsidRDefault="00DC79E1" w:rsidP="00DC79E1">
            <w:pPr>
              <w:ind w:firstLineChars="1000" w:firstLine="2200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=$7,450</w:t>
            </w:r>
          </w:p>
        </w:tc>
        <w:tc>
          <w:tcPr>
            <w:tcW w:w="4945" w:type="dxa"/>
            <w:noWrap/>
            <w:vAlign w:val="bottom"/>
            <w:hideMark/>
          </w:tcPr>
          <w:p w:rsidR="00DC79E1" w:rsidRPr="00DC79E1" w:rsidRDefault="00DC79E1" w:rsidP="00DC79E1">
            <w:pPr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 xml:space="preserve">= 5% </w:t>
            </w:r>
            <w:r w:rsidRPr="00DC79E1">
              <w:rPr>
                <w:rFonts w:ascii="Calibri" w:eastAsia="Times New Roman" w:hAnsi="Calibri" w:cs="Calibri"/>
                <w:color w:val="FF0000"/>
              </w:rPr>
              <w:t>($7,450 / $200,000) payroll distribution</w:t>
            </w:r>
          </w:p>
        </w:tc>
      </w:tr>
    </w:tbl>
    <w:p w:rsidR="008E45D2" w:rsidRDefault="00565715" w:rsidP="00A04C6A">
      <w:pPr>
        <w:pStyle w:val="ListParagraph"/>
        <w:ind w:left="1440"/>
      </w:pPr>
      <w:r>
        <w:tab/>
      </w:r>
    </w:p>
    <w:p w:rsidR="00DC79E1" w:rsidRDefault="00DC79E1" w:rsidP="00A04C6A">
      <w:pPr>
        <w:pStyle w:val="ListParagraph"/>
        <w:ind w:left="1440"/>
      </w:pPr>
    </w:p>
    <w:p w:rsidR="00835B1D" w:rsidRPr="00835B1D" w:rsidRDefault="008E45D2" w:rsidP="00835B1D">
      <w:pPr>
        <w:pStyle w:val="ListParagraph"/>
        <w:numPr>
          <w:ilvl w:val="0"/>
          <w:numId w:val="2"/>
        </w:numPr>
        <w:rPr>
          <w:b/>
        </w:rPr>
      </w:pPr>
      <w:r w:rsidRPr="002707EF">
        <w:rPr>
          <w:b/>
          <w:i/>
          <w:u w:val="single"/>
        </w:rPr>
        <w:t xml:space="preserve">Effort </w:t>
      </w:r>
      <w:r w:rsidR="00C254E1" w:rsidRPr="002707EF">
        <w:rPr>
          <w:b/>
          <w:i/>
          <w:u w:val="single"/>
        </w:rPr>
        <w:t>Certification</w:t>
      </w:r>
      <w:r w:rsidR="00046C20">
        <w:t xml:space="preserve"> </w:t>
      </w:r>
      <w:r w:rsidR="009901F2">
        <w:t xml:space="preserve">– For the effort pre-reviewers or </w:t>
      </w:r>
      <w:r w:rsidR="00046C20">
        <w:t>DBA</w:t>
      </w:r>
      <w:r w:rsidR="00D564EF">
        <w:t>s</w:t>
      </w:r>
      <w:r w:rsidR="00545B4F">
        <w:t>,</w:t>
      </w:r>
      <w:r w:rsidR="00046C20">
        <w:t xml:space="preserve"> when the individual</w:t>
      </w:r>
      <w:r w:rsidR="009901F2">
        <w:t>’s</w:t>
      </w:r>
      <w:r w:rsidR="00046C20">
        <w:t xml:space="preserve"> IBS is over the cap </w:t>
      </w:r>
      <w:r w:rsidR="00046C20" w:rsidRPr="009901F2">
        <w:rPr>
          <w:b/>
        </w:rPr>
        <w:t>AND</w:t>
      </w:r>
      <w:r w:rsidR="00046C20">
        <w:t xml:space="preserve"> </w:t>
      </w:r>
      <w:r w:rsidR="008A14D0">
        <w:t>any portion of</w:t>
      </w:r>
      <w:r w:rsidR="00046C20">
        <w:t xml:space="preserve"> the direct salary </w:t>
      </w:r>
      <w:r w:rsidR="002707EF">
        <w:t>post</w:t>
      </w:r>
      <w:r w:rsidR="008A14D0">
        <w:t>s</w:t>
      </w:r>
      <w:r w:rsidR="002707EF">
        <w:t xml:space="preserve"> to a </w:t>
      </w:r>
      <w:r w:rsidR="00046C20">
        <w:t xml:space="preserve">DHHS award, the effort </w:t>
      </w:r>
      <w:r w:rsidR="00545B4F">
        <w:t xml:space="preserve">percentage </w:t>
      </w:r>
      <w:r w:rsidR="008A14D0">
        <w:t xml:space="preserve">on the DHHS award </w:t>
      </w:r>
      <w:r w:rsidR="00545B4F">
        <w:t xml:space="preserve">must be </w:t>
      </w:r>
      <w:r w:rsidR="008A14D0">
        <w:t xml:space="preserve">at least equal to </w:t>
      </w:r>
      <w:r w:rsidR="00545B4F">
        <w:t xml:space="preserve">the </w:t>
      </w:r>
      <w:r w:rsidR="00046C20">
        <w:t xml:space="preserve">direct </w:t>
      </w:r>
      <w:r w:rsidR="008A14D0">
        <w:t>salary</w:t>
      </w:r>
      <w:r w:rsidR="00046C20">
        <w:t xml:space="preserve"> amount divided by the cap</w:t>
      </w:r>
      <w:r w:rsidR="002707EF">
        <w:t xml:space="preserve"> amount for</w:t>
      </w:r>
      <w:r w:rsidR="00046C20">
        <w:t xml:space="preserve"> </w:t>
      </w:r>
      <w:r w:rsidR="002707EF">
        <w:t>that</w:t>
      </w:r>
      <w:r w:rsidR="00046C20">
        <w:t xml:space="preserve"> period.   </w:t>
      </w:r>
      <w:r w:rsidR="002707EF" w:rsidRPr="002707EF">
        <w:t>For instance</w:t>
      </w:r>
      <w:r w:rsidR="009901F2">
        <w:t>,</w:t>
      </w:r>
      <w:r w:rsidR="008A14D0">
        <w:t xml:space="preserve"> </w:t>
      </w:r>
      <w:r w:rsidR="00F17B9B">
        <w:t xml:space="preserve">if </w:t>
      </w:r>
      <w:r w:rsidR="002707EF" w:rsidRPr="002707EF">
        <w:t xml:space="preserve">Professor X proposes </w:t>
      </w:r>
      <w:r w:rsidR="008A14D0">
        <w:t>to</w:t>
      </w:r>
      <w:r w:rsidR="002707EF" w:rsidRPr="002707EF">
        <w:t xml:space="preserve"> spend 50% of effort on an NIH pr</w:t>
      </w:r>
      <w:r w:rsidR="00545B4F">
        <w:t>oject, and 50% on another grant</w:t>
      </w:r>
      <w:r w:rsidR="002707EF" w:rsidRPr="002707EF">
        <w:t xml:space="preserve"> </w:t>
      </w:r>
      <w:r w:rsidR="002707EF">
        <w:t xml:space="preserve">during </w:t>
      </w:r>
      <w:r w:rsidR="009901F2">
        <w:t xml:space="preserve">the summer </w:t>
      </w:r>
      <w:r w:rsidR="008A14D0">
        <w:t>(June through August)</w:t>
      </w:r>
      <w:r w:rsidR="002707EF">
        <w:t xml:space="preserve"> </w:t>
      </w:r>
      <w:r w:rsidR="00DB0768">
        <w:t>and is paid</w:t>
      </w:r>
      <w:r w:rsidR="00487B10">
        <w:t xml:space="preserve"> three months’ salary </w:t>
      </w:r>
      <w:r w:rsidR="00DB0768">
        <w:t xml:space="preserve">at </w:t>
      </w:r>
      <w:r w:rsidR="008A14D0">
        <w:t>the</w:t>
      </w:r>
      <w:r w:rsidR="00DB0768">
        <w:t xml:space="preserve"> academic salary rate of $22,222.00 (</w:t>
      </w:r>
      <w:r w:rsidR="00F17B9B">
        <w:t>$200,000/9), then the effort certification should be the following:</w:t>
      </w:r>
      <w:r w:rsidR="00DB0768">
        <w:t xml:space="preserve"> </w:t>
      </w:r>
    </w:p>
    <w:p w:rsidR="00835B1D" w:rsidRDefault="00835B1D" w:rsidP="00835B1D">
      <w:pPr>
        <w:pStyle w:val="ListParagraph"/>
        <w:ind w:left="2880"/>
        <w:rPr>
          <w:b/>
        </w:rPr>
      </w:pPr>
    </w:p>
    <w:tbl>
      <w:tblPr>
        <w:tblW w:w="4710" w:type="dxa"/>
        <w:tblInd w:w="2125" w:type="dxa"/>
        <w:tblLook w:val="04A0" w:firstRow="1" w:lastRow="0" w:firstColumn="1" w:lastColumn="0" w:noHBand="0" w:noVBand="1"/>
      </w:tblPr>
      <w:tblGrid>
        <w:gridCol w:w="1820"/>
        <w:gridCol w:w="1323"/>
        <w:gridCol w:w="1567"/>
      </w:tblGrid>
      <w:tr w:rsidR="00835B1D" w:rsidRPr="00835B1D" w:rsidTr="00835B1D">
        <w:trPr>
          <w:trHeight w:val="40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35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Project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35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Effort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35B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Salary</w:t>
            </w:r>
          </w:p>
        </w:tc>
      </w:tr>
      <w:tr w:rsidR="00835B1D" w:rsidRPr="00835B1D" w:rsidTr="00835B1D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NIH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 xml:space="preserve">    23,137.50 </w:t>
            </w:r>
          </w:p>
        </w:tc>
      </w:tr>
      <w:tr w:rsidR="00835B1D" w:rsidRPr="00835B1D" w:rsidTr="00835B1D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Other Grant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 xml:space="preserve">    33,333.33 </w:t>
            </w:r>
          </w:p>
        </w:tc>
      </w:tr>
      <w:tr w:rsidR="00835B1D" w:rsidRPr="00835B1D" w:rsidTr="00835B1D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Non-Grant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>0%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 xml:space="preserve">    10,195.83 </w:t>
            </w:r>
          </w:p>
        </w:tc>
      </w:tr>
      <w:tr w:rsidR="00835B1D" w:rsidRPr="00835B1D" w:rsidTr="00835B1D">
        <w:trPr>
          <w:trHeight w:val="402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35B1D">
              <w:rPr>
                <w:rFonts w:ascii="Arial" w:eastAsia="Times New Roman" w:hAnsi="Arial" w:cs="Arial"/>
                <w:i/>
                <w:iCs/>
                <w:color w:val="000000"/>
              </w:rPr>
              <w:t>June July August Salary</w:t>
            </w: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B1D" w:rsidRPr="00835B1D" w:rsidRDefault="00835B1D" w:rsidP="00835B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5B1D">
              <w:rPr>
                <w:rFonts w:ascii="Arial" w:eastAsia="Times New Roman" w:hAnsi="Arial" w:cs="Arial"/>
                <w:color w:val="000000"/>
              </w:rPr>
              <w:t xml:space="preserve">    66,666.67 </w:t>
            </w:r>
          </w:p>
        </w:tc>
      </w:tr>
    </w:tbl>
    <w:p w:rsidR="00835B1D" w:rsidRDefault="00835B1D" w:rsidP="00835B1D">
      <w:pPr>
        <w:pStyle w:val="ListParagraph"/>
        <w:ind w:left="1440"/>
        <w:rPr>
          <w:b/>
        </w:rPr>
      </w:pPr>
    </w:p>
    <w:p w:rsidR="00835B1D" w:rsidRPr="00A04C6A" w:rsidRDefault="00835B1D" w:rsidP="00A04C6A">
      <w:pPr>
        <w:rPr>
          <w:b/>
        </w:rPr>
      </w:pPr>
    </w:p>
    <w:p w:rsidR="00835B1D" w:rsidRDefault="00835B1D" w:rsidP="00835B1D">
      <w:pPr>
        <w:pStyle w:val="ListParagraph"/>
        <w:rPr>
          <w:b/>
        </w:rPr>
      </w:pPr>
    </w:p>
    <w:p w:rsidR="00DB1BAA" w:rsidRPr="00A04C6A" w:rsidRDefault="00545B4F" w:rsidP="00A04C6A">
      <w:pPr>
        <w:spacing w:after="0"/>
        <w:rPr>
          <w:sz w:val="24"/>
          <w:szCs w:val="24"/>
        </w:rPr>
      </w:pPr>
      <w:r w:rsidRPr="00A04C6A">
        <w:rPr>
          <w:b/>
          <w:sz w:val="24"/>
          <w:szCs w:val="24"/>
        </w:rPr>
        <w:t>Detail Payroll Distribution for this Effort Reporting Period</w:t>
      </w:r>
    </w:p>
    <w:tbl>
      <w:tblPr>
        <w:tblW w:w="9417" w:type="dxa"/>
        <w:tblInd w:w="5" w:type="dxa"/>
        <w:tblLook w:val="04A0" w:firstRow="1" w:lastRow="0" w:firstColumn="1" w:lastColumn="0" w:noHBand="0" w:noVBand="1"/>
      </w:tblPr>
      <w:tblGrid>
        <w:gridCol w:w="1505"/>
        <w:gridCol w:w="1546"/>
        <w:gridCol w:w="1607"/>
        <w:gridCol w:w="1586"/>
        <w:gridCol w:w="1566"/>
        <w:gridCol w:w="1607"/>
      </w:tblGrid>
      <w:tr w:rsidR="008A14D0" w:rsidRPr="008A14D0" w:rsidTr="008A14D0">
        <w:trPr>
          <w:trHeight w:val="855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Month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Fund source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Monthly Cap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Effort %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Payroll amount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Payroll (</w:t>
            </w:r>
            <w:proofErr w:type="spellStart"/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ePRF</w:t>
            </w:r>
            <w:proofErr w:type="spellEnd"/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) </w:t>
            </w:r>
            <w:proofErr w:type="spellStart"/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Dist</w:t>
            </w:r>
            <w:proofErr w:type="spellEnd"/>
            <w:r w:rsidRPr="008A14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June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NIH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15,425.00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50%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7,712.50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35%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June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Non-Grant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3,398.61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June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Other 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11,111.11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8A14D0" w:rsidRPr="008A14D0" w:rsidTr="008A14D0">
        <w:trPr>
          <w:trHeight w:val="6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July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NIH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15,425.00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50%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7,712.50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35%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July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Non-Grant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3,398.61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July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Other 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11,111.11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8A14D0" w:rsidRPr="008A14D0" w:rsidTr="008A14D0">
        <w:trPr>
          <w:trHeight w:val="555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August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NIH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15,425.00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50%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7,712.50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8A14D0">
              <w:rPr>
                <w:rFonts w:ascii="Arial" w:eastAsia="Times New Roman" w:hAnsi="Arial" w:cs="Arial"/>
                <w:color w:val="FF0000"/>
              </w:rPr>
              <w:t>35%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August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Non-Grant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3,398.61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15%</w:t>
            </w:r>
          </w:p>
        </w:tc>
      </w:tr>
      <w:tr w:rsidR="008A14D0" w:rsidRPr="008A14D0" w:rsidTr="008A14D0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August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Other Grant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22,222.22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11,111.11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4D0" w:rsidRPr="008A14D0" w:rsidRDefault="008A14D0" w:rsidP="008A14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A14D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</w:tbl>
    <w:p w:rsidR="00835B1D" w:rsidRPr="005F6AFE" w:rsidRDefault="00835B1D" w:rsidP="00835B1D">
      <w:pPr>
        <w:pStyle w:val="ListParagraph"/>
      </w:pPr>
    </w:p>
    <w:sectPr w:rsidR="00835B1D" w:rsidRPr="005F6AFE" w:rsidSect="006A25B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2B2F"/>
    <w:multiLevelType w:val="hybridMultilevel"/>
    <w:tmpl w:val="B72A3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01C37"/>
    <w:multiLevelType w:val="hybridMultilevel"/>
    <w:tmpl w:val="55A4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46811"/>
    <w:multiLevelType w:val="hybridMultilevel"/>
    <w:tmpl w:val="8AE8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E2"/>
    <w:rsid w:val="00046C20"/>
    <w:rsid w:val="00067A39"/>
    <w:rsid w:val="00073BC6"/>
    <w:rsid w:val="001536CF"/>
    <w:rsid w:val="001C35B4"/>
    <w:rsid w:val="00243C1D"/>
    <w:rsid w:val="002707EF"/>
    <w:rsid w:val="00376A64"/>
    <w:rsid w:val="003A0CE2"/>
    <w:rsid w:val="00480C08"/>
    <w:rsid w:val="00487B10"/>
    <w:rsid w:val="004E32DC"/>
    <w:rsid w:val="00545B4F"/>
    <w:rsid w:val="00565715"/>
    <w:rsid w:val="005F6AFE"/>
    <w:rsid w:val="006A25BC"/>
    <w:rsid w:val="006C751D"/>
    <w:rsid w:val="00782A4E"/>
    <w:rsid w:val="00835B1D"/>
    <w:rsid w:val="0085398B"/>
    <w:rsid w:val="008847CF"/>
    <w:rsid w:val="008A14D0"/>
    <w:rsid w:val="008D25D7"/>
    <w:rsid w:val="008E45D2"/>
    <w:rsid w:val="009901F2"/>
    <w:rsid w:val="00A04C6A"/>
    <w:rsid w:val="00A05E2F"/>
    <w:rsid w:val="00A11EB5"/>
    <w:rsid w:val="00A40EBC"/>
    <w:rsid w:val="00A4762A"/>
    <w:rsid w:val="00AB28D6"/>
    <w:rsid w:val="00C0624F"/>
    <w:rsid w:val="00C254E1"/>
    <w:rsid w:val="00C31E75"/>
    <w:rsid w:val="00D564EF"/>
    <w:rsid w:val="00DB0768"/>
    <w:rsid w:val="00DB124D"/>
    <w:rsid w:val="00DB1BAA"/>
    <w:rsid w:val="00DC410D"/>
    <w:rsid w:val="00DC79E1"/>
    <w:rsid w:val="00E10A80"/>
    <w:rsid w:val="00EA6C5C"/>
    <w:rsid w:val="00F17B9B"/>
    <w:rsid w:val="00F23144"/>
    <w:rsid w:val="00F3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A05468-3B94-41BE-9756-348DC4E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0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A0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Title"/>
    <w:qFormat/>
    <w:rsid w:val="0085398B"/>
    <w:rPr>
      <w:rFonts w:ascii="Arial" w:hAnsi="Arial" w:cs="Arial"/>
      <w:color w:val="44546A" w:themeColor="text2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853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A0C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A0CE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A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CE2"/>
    <w:rPr>
      <w:b/>
      <w:bCs/>
    </w:rPr>
  </w:style>
  <w:style w:type="character" w:styleId="Emphasis">
    <w:name w:val="Emphasis"/>
    <w:basedOn w:val="DefaultParagraphFont"/>
    <w:uiPriority w:val="20"/>
    <w:qFormat/>
    <w:rsid w:val="003A0CE2"/>
    <w:rPr>
      <w:i/>
      <w:iCs/>
    </w:rPr>
  </w:style>
  <w:style w:type="paragraph" w:styleId="ListParagraph">
    <w:name w:val="List Paragraph"/>
    <w:basedOn w:val="Normal"/>
    <w:uiPriority w:val="34"/>
    <w:qFormat/>
    <w:rsid w:val="00DC41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E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DC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nts.nih.gov/grants/guide/notice-files/NOT-OD-16-04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Torbor, DeSandra</dc:creator>
  <cp:keywords/>
  <dc:description/>
  <cp:lastModifiedBy>Spearman, Nitiya</cp:lastModifiedBy>
  <cp:revision>2</cp:revision>
  <dcterms:created xsi:type="dcterms:W3CDTF">2016-08-30T16:11:00Z</dcterms:created>
  <dcterms:modified xsi:type="dcterms:W3CDTF">2016-08-30T16:11:00Z</dcterms:modified>
</cp:coreProperties>
</file>