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700" w:rsidRPr="006A61B8" w:rsidRDefault="00751700" w:rsidP="006A61B8">
      <w:pPr>
        <w:pStyle w:val="Title"/>
        <w:rPr>
          <w:i/>
        </w:rPr>
      </w:pPr>
      <w:bookmarkStart w:id="0" w:name="_GoBack"/>
      <w:bookmarkEnd w:id="0"/>
      <w:r w:rsidRPr="006A61B8">
        <w:rPr>
          <w:i/>
        </w:rPr>
        <w:t>Institutional Base Salary</w:t>
      </w:r>
    </w:p>
    <w:p w:rsidR="006A61B8" w:rsidRDefault="00751700" w:rsidP="006A61B8">
      <w:pPr>
        <w:pStyle w:val="NormalWeb"/>
        <w:spacing w:after="240"/>
        <w:rPr>
          <w:rFonts w:asciiTheme="minorHAnsi" w:eastAsiaTheme="minorHAnsi" w:hAnsiTheme="minorHAnsi" w:cstheme="minorBidi"/>
          <w:sz w:val="22"/>
          <w:szCs w:val="22"/>
        </w:rPr>
      </w:pPr>
      <w:r w:rsidRPr="006A61B8">
        <w:rPr>
          <w:rFonts w:asciiTheme="minorHAnsi" w:eastAsiaTheme="minorHAnsi" w:hAnsiTheme="minorHAnsi" w:cstheme="minorBidi"/>
          <w:sz w:val="22"/>
          <w:szCs w:val="22"/>
        </w:rPr>
        <w:t xml:space="preserve">For the purposes of effort reporting, the </w:t>
      </w:r>
      <w:r w:rsidR="004A4341">
        <w:rPr>
          <w:rFonts w:asciiTheme="minorHAnsi" w:eastAsiaTheme="minorHAnsi" w:hAnsiTheme="minorHAnsi" w:cstheme="minorBidi"/>
          <w:sz w:val="22"/>
          <w:szCs w:val="22"/>
        </w:rPr>
        <w:t>definition of</w:t>
      </w:r>
      <w:r w:rsidR="004A4341" w:rsidRPr="006A61B8">
        <w:rPr>
          <w:rFonts w:asciiTheme="minorHAnsi" w:eastAsiaTheme="minorHAnsi" w:hAnsiTheme="minorHAnsi" w:cstheme="minorBidi"/>
          <w:sz w:val="22"/>
          <w:szCs w:val="22"/>
        </w:rPr>
        <w:t xml:space="preserve"> </w:t>
      </w:r>
      <w:r w:rsidRPr="006A61B8">
        <w:rPr>
          <w:rFonts w:asciiTheme="minorHAnsi" w:eastAsiaTheme="minorHAnsi" w:hAnsiTheme="minorHAnsi" w:cstheme="minorBidi"/>
          <w:sz w:val="22"/>
          <w:szCs w:val="22"/>
        </w:rPr>
        <w:t xml:space="preserve">“institutional base salary" (IBS) is </w:t>
      </w:r>
      <w:r w:rsidR="006A61B8">
        <w:rPr>
          <w:rFonts w:asciiTheme="minorHAnsi" w:eastAsiaTheme="minorHAnsi" w:hAnsiTheme="minorHAnsi" w:cstheme="minorBidi"/>
          <w:sz w:val="22"/>
          <w:szCs w:val="22"/>
        </w:rPr>
        <w:t>annual compensation</w:t>
      </w:r>
      <w:r w:rsidRPr="006A61B8">
        <w:rPr>
          <w:rFonts w:asciiTheme="minorHAnsi" w:eastAsiaTheme="minorHAnsi" w:hAnsiTheme="minorHAnsi" w:cstheme="minorBidi"/>
          <w:sz w:val="22"/>
          <w:szCs w:val="22"/>
        </w:rPr>
        <w:t xml:space="preserve"> </w:t>
      </w:r>
      <w:r w:rsidR="006A61B8">
        <w:rPr>
          <w:rFonts w:asciiTheme="minorHAnsi" w:eastAsiaTheme="minorHAnsi" w:hAnsiTheme="minorHAnsi" w:cstheme="minorBidi"/>
          <w:sz w:val="22"/>
          <w:szCs w:val="22"/>
        </w:rPr>
        <w:t xml:space="preserve">for an </w:t>
      </w:r>
      <w:r w:rsidRPr="006A61B8">
        <w:rPr>
          <w:rFonts w:asciiTheme="minorHAnsi" w:eastAsiaTheme="minorHAnsi" w:hAnsiTheme="minorHAnsi" w:cstheme="minorBidi"/>
          <w:sz w:val="22"/>
          <w:szCs w:val="22"/>
        </w:rPr>
        <w:t>individual</w:t>
      </w:r>
      <w:r w:rsidR="006A61B8">
        <w:rPr>
          <w:rFonts w:asciiTheme="minorHAnsi" w:eastAsiaTheme="minorHAnsi" w:hAnsiTheme="minorHAnsi" w:cstheme="minorBidi"/>
          <w:sz w:val="22"/>
          <w:szCs w:val="22"/>
        </w:rPr>
        <w:t>’s appointment (9, 10,</w:t>
      </w:r>
      <w:r w:rsidR="00EA1C8F">
        <w:rPr>
          <w:rFonts w:asciiTheme="minorHAnsi" w:eastAsiaTheme="minorHAnsi" w:hAnsiTheme="minorHAnsi" w:cstheme="minorBidi"/>
          <w:sz w:val="22"/>
          <w:szCs w:val="22"/>
        </w:rPr>
        <w:t xml:space="preserve"> </w:t>
      </w:r>
      <w:r w:rsidR="006A61B8">
        <w:rPr>
          <w:rFonts w:asciiTheme="minorHAnsi" w:eastAsiaTheme="minorHAnsi" w:hAnsiTheme="minorHAnsi" w:cstheme="minorBidi"/>
          <w:sz w:val="22"/>
          <w:szCs w:val="22"/>
        </w:rPr>
        <w:t>11 or 12 months)</w:t>
      </w:r>
      <w:r w:rsidR="004A4341">
        <w:rPr>
          <w:rFonts w:asciiTheme="minorHAnsi" w:eastAsiaTheme="minorHAnsi" w:hAnsiTheme="minorHAnsi" w:cstheme="minorBidi"/>
          <w:sz w:val="22"/>
          <w:szCs w:val="22"/>
        </w:rPr>
        <w:t>, and covers</w:t>
      </w:r>
      <w:r w:rsidR="006A61B8">
        <w:rPr>
          <w:rFonts w:asciiTheme="minorHAnsi" w:eastAsiaTheme="minorHAnsi" w:hAnsiTheme="minorHAnsi" w:cstheme="minorBidi"/>
          <w:sz w:val="22"/>
          <w:szCs w:val="22"/>
        </w:rPr>
        <w:t xml:space="preserve"> individual </w:t>
      </w:r>
      <w:r w:rsidRPr="006A61B8">
        <w:rPr>
          <w:rFonts w:asciiTheme="minorHAnsi" w:eastAsiaTheme="minorHAnsi" w:hAnsiTheme="minorHAnsi" w:cstheme="minorBidi"/>
          <w:sz w:val="22"/>
          <w:szCs w:val="22"/>
        </w:rPr>
        <w:t>time spent on research, teaching,</w:t>
      </w:r>
      <w:r w:rsidR="006A61B8">
        <w:rPr>
          <w:rFonts w:asciiTheme="minorHAnsi" w:eastAsiaTheme="minorHAnsi" w:hAnsiTheme="minorHAnsi" w:cstheme="minorBidi"/>
          <w:sz w:val="22"/>
          <w:szCs w:val="22"/>
        </w:rPr>
        <w:t xml:space="preserve"> administration</w:t>
      </w:r>
      <w:r w:rsidRPr="006A61B8">
        <w:rPr>
          <w:rFonts w:asciiTheme="minorHAnsi" w:eastAsiaTheme="minorHAnsi" w:hAnsiTheme="minorHAnsi" w:cstheme="minorBidi"/>
          <w:sz w:val="22"/>
          <w:szCs w:val="22"/>
        </w:rPr>
        <w:t xml:space="preserve"> or other activities. </w:t>
      </w:r>
      <w:r w:rsidR="006A61B8">
        <w:rPr>
          <w:rFonts w:asciiTheme="minorHAnsi" w:eastAsiaTheme="minorHAnsi" w:hAnsiTheme="minorHAnsi" w:cstheme="minorBidi"/>
          <w:sz w:val="22"/>
          <w:szCs w:val="22"/>
        </w:rPr>
        <w:t xml:space="preserve">IBS does not include </w:t>
      </w:r>
      <w:r w:rsidR="006A61B8" w:rsidRPr="006A61B8">
        <w:rPr>
          <w:rFonts w:asciiTheme="minorHAnsi" w:eastAsiaTheme="minorHAnsi" w:hAnsiTheme="minorHAnsi" w:cstheme="minorBidi"/>
          <w:sz w:val="22"/>
          <w:szCs w:val="22"/>
        </w:rPr>
        <w:t>bonuses, one-time payments, or incentive pay.  Additionally, IBS does not include payments from other organizations or income that individuals are permitted to earn outside of their University responsibilities, such as consulting.  IBS must be used as the base salary on all grant proposals</w:t>
      </w:r>
      <w:r w:rsidR="004A4341">
        <w:rPr>
          <w:rFonts w:asciiTheme="minorHAnsi" w:eastAsiaTheme="minorHAnsi" w:hAnsiTheme="minorHAnsi" w:cstheme="minorBidi"/>
          <w:sz w:val="22"/>
          <w:szCs w:val="22"/>
        </w:rPr>
        <w:t>,</w:t>
      </w:r>
      <w:r w:rsidR="00EF7B16">
        <w:rPr>
          <w:rFonts w:asciiTheme="minorHAnsi" w:eastAsiaTheme="minorHAnsi" w:hAnsiTheme="minorHAnsi" w:cstheme="minorBidi"/>
          <w:sz w:val="22"/>
          <w:szCs w:val="22"/>
        </w:rPr>
        <w:t xml:space="preserve"> and is the bas</w:t>
      </w:r>
      <w:r w:rsidR="004A4341">
        <w:rPr>
          <w:rFonts w:asciiTheme="minorHAnsi" w:eastAsiaTheme="minorHAnsi" w:hAnsiTheme="minorHAnsi" w:cstheme="minorBidi"/>
          <w:sz w:val="22"/>
          <w:szCs w:val="22"/>
        </w:rPr>
        <w:t>i</w:t>
      </w:r>
      <w:r w:rsidR="00EF7B16">
        <w:rPr>
          <w:rFonts w:asciiTheme="minorHAnsi" w:eastAsiaTheme="minorHAnsi" w:hAnsiTheme="minorHAnsi" w:cstheme="minorBidi"/>
          <w:sz w:val="22"/>
          <w:szCs w:val="22"/>
        </w:rPr>
        <w:t xml:space="preserve">s for effort reporting.  </w:t>
      </w:r>
    </w:p>
    <w:p w:rsidR="00EF7B16" w:rsidRDefault="006A61B8" w:rsidP="00EF7B16">
      <w:pPr>
        <w:pStyle w:val="NormalWeb"/>
        <w:spacing w:before="0" w:beforeAutospacing="0" w:after="0" w:afterAutospacing="0"/>
        <w:rPr>
          <w:rFonts w:asciiTheme="minorHAnsi" w:eastAsiaTheme="minorHAnsi" w:hAnsiTheme="minorHAnsi" w:cstheme="minorBidi"/>
          <w:b/>
        </w:rPr>
      </w:pPr>
      <w:r>
        <w:rPr>
          <w:rFonts w:asciiTheme="minorHAnsi" w:eastAsiaTheme="minorHAnsi" w:hAnsiTheme="minorHAnsi" w:cstheme="minorBidi"/>
          <w:b/>
        </w:rPr>
        <w:t>Summer Salary</w:t>
      </w:r>
    </w:p>
    <w:p w:rsidR="00EF7B16" w:rsidRDefault="00EF7B16" w:rsidP="00EF7B16">
      <w:pPr>
        <w:pStyle w:val="NormalWeb"/>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According to the Uniform Guidance, </w:t>
      </w:r>
      <w:r w:rsidRPr="00EF7B16">
        <w:rPr>
          <w:rFonts w:asciiTheme="minorHAnsi" w:eastAsiaTheme="minorHAnsi" w:hAnsiTheme="minorHAnsi" w:cstheme="minorBidi"/>
          <w:sz w:val="22"/>
          <w:szCs w:val="22"/>
        </w:rPr>
        <w:t xml:space="preserve">the principles of IBS apply to calculation of summer salary for all employees, regardless of </w:t>
      </w:r>
      <w:r w:rsidR="004A4341">
        <w:rPr>
          <w:rFonts w:asciiTheme="minorHAnsi" w:eastAsiaTheme="minorHAnsi" w:hAnsiTheme="minorHAnsi" w:cstheme="minorBidi"/>
          <w:sz w:val="22"/>
          <w:szCs w:val="22"/>
        </w:rPr>
        <w:t xml:space="preserve">the </w:t>
      </w:r>
      <w:r w:rsidRPr="00EF7B16">
        <w:rPr>
          <w:rFonts w:asciiTheme="minorHAnsi" w:eastAsiaTheme="minorHAnsi" w:hAnsiTheme="minorHAnsi" w:cstheme="minorBidi"/>
          <w:sz w:val="22"/>
          <w:szCs w:val="22"/>
        </w:rPr>
        <w:t>source of funds</w:t>
      </w:r>
      <w:r>
        <w:rPr>
          <w:rFonts w:asciiTheme="minorHAnsi" w:eastAsiaTheme="minorHAnsi" w:hAnsiTheme="minorHAnsi" w:cstheme="minorBidi"/>
          <w:sz w:val="22"/>
          <w:szCs w:val="22"/>
        </w:rPr>
        <w:t>. Full time faculty with appointments of less than 12 months may</w:t>
      </w:r>
      <w:r w:rsidR="006A61B8" w:rsidRPr="006A61B8">
        <w:rPr>
          <w:rFonts w:asciiTheme="minorHAnsi" w:eastAsiaTheme="minorHAnsi" w:hAnsiTheme="minorHAnsi" w:cstheme="minorBidi"/>
          <w:sz w:val="22"/>
          <w:szCs w:val="22"/>
        </w:rPr>
        <w:t xml:space="preserve"> earn summer salary during the months June, July and August, up to a maximum of three full months (3/9ths)</w:t>
      </w:r>
      <w:r w:rsidR="006A61B8">
        <w:rPr>
          <w:rFonts w:asciiTheme="minorHAnsi" w:eastAsiaTheme="minorHAnsi" w:hAnsiTheme="minorHAnsi" w:cstheme="minorBidi"/>
          <w:sz w:val="22"/>
          <w:szCs w:val="22"/>
        </w:rPr>
        <w:t xml:space="preserve"> for individuals with 9 months appointments.  </w:t>
      </w:r>
      <w:r w:rsidRPr="00EF7B16">
        <w:rPr>
          <w:rFonts w:asciiTheme="minorHAnsi" w:eastAsiaTheme="minorHAnsi" w:hAnsiTheme="minorHAnsi" w:cstheme="minorBidi"/>
          <w:sz w:val="22"/>
          <w:szCs w:val="22"/>
        </w:rPr>
        <w:t>Summer Salary funded by the National Science Foundation is limited to two months</w:t>
      </w:r>
      <w:r w:rsidR="004A4341">
        <w:rPr>
          <w:rFonts w:asciiTheme="minorHAnsi" w:eastAsiaTheme="minorHAnsi" w:hAnsiTheme="minorHAnsi" w:cstheme="minorBidi"/>
          <w:sz w:val="22"/>
          <w:szCs w:val="22"/>
        </w:rPr>
        <w:t xml:space="preserve"> from all NSF awards</w:t>
      </w:r>
      <w:r w:rsidRPr="00EF7B16">
        <w:rPr>
          <w:rFonts w:asciiTheme="minorHAnsi" w:eastAsiaTheme="minorHAnsi" w:hAnsiTheme="minorHAnsi" w:cstheme="minorBidi"/>
          <w:sz w:val="22"/>
          <w:szCs w:val="22"/>
        </w:rPr>
        <w:t>, or two</w:t>
      </w:r>
      <w:r>
        <w:rPr>
          <w:rFonts w:asciiTheme="minorHAnsi" w:eastAsiaTheme="minorHAnsi" w:hAnsiTheme="minorHAnsi" w:cstheme="minorBidi"/>
          <w:sz w:val="22"/>
          <w:szCs w:val="22"/>
        </w:rPr>
        <w:t xml:space="preserve"> ninths </w:t>
      </w:r>
      <w:r w:rsidRPr="00EF7B16">
        <w:rPr>
          <w:rFonts w:asciiTheme="minorHAnsi" w:eastAsiaTheme="minorHAnsi" w:hAnsiTheme="minorHAnsi" w:cstheme="minorBidi"/>
          <w:sz w:val="22"/>
          <w:szCs w:val="22"/>
        </w:rPr>
        <w:t>of the regular academic year salary.</w:t>
      </w:r>
      <w:r>
        <w:rPr>
          <w:rFonts w:asciiTheme="minorHAnsi" w:eastAsiaTheme="minorHAnsi" w:hAnsiTheme="minorHAnsi" w:cstheme="minorBidi"/>
          <w:sz w:val="22"/>
          <w:szCs w:val="22"/>
        </w:rPr>
        <w:t xml:space="preserve"> </w:t>
      </w:r>
      <w:r w:rsidRPr="00EF7B16">
        <w:rPr>
          <w:rFonts w:asciiTheme="minorHAnsi" w:eastAsiaTheme="minorHAnsi" w:hAnsiTheme="minorHAnsi" w:cstheme="minorBidi"/>
          <w:sz w:val="22"/>
          <w:szCs w:val="22"/>
        </w:rPr>
        <w:t>NIH’s maximum salary limitation applies to summer salary just as i</w:t>
      </w:r>
      <w:r>
        <w:rPr>
          <w:rFonts w:asciiTheme="minorHAnsi" w:eastAsiaTheme="minorHAnsi" w:hAnsiTheme="minorHAnsi" w:cstheme="minorBidi"/>
          <w:sz w:val="22"/>
          <w:szCs w:val="22"/>
        </w:rPr>
        <w:t xml:space="preserve">t does to academic year salary. </w:t>
      </w:r>
      <w:r w:rsidRPr="00EF7B16">
        <w:rPr>
          <w:rFonts w:asciiTheme="minorHAnsi" w:eastAsiaTheme="minorHAnsi" w:hAnsiTheme="minorHAnsi" w:cstheme="minorBidi"/>
          <w:sz w:val="22"/>
          <w:szCs w:val="22"/>
        </w:rPr>
        <w:t>Therefore, any monthly summer salary charge</w:t>
      </w:r>
      <w:r>
        <w:rPr>
          <w:rFonts w:asciiTheme="minorHAnsi" w:eastAsiaTheme="minorHAnsi" w:hAnsiTheme="minorHAnsi" w:cstheme="minorBidi"/>
          <w:sz w:val="22"/>
          <w:szCs w:val="22"/>
        </w:rPr>
        <w:t xml:space="preserve"> to an NIH project</w:t>
      </w:r>
      <w:r w:rsidRPr="00EF7B16">
        <w:rPr>
          <w:rFonts w:asciiTheme="minorHAnsi" w:eastAsiaTheme="minorHAnsi" w:hAnsiTheme="minorHAnsi" w:cstheme="minorBidi"/>
          <w:sz w:val="22"/>
          <w:szCs w:val="22"/>
        </w:rPr>
        <w:t xml:space="preserve"> is limited to one-twelfth of the NIH maximum</w:t>
      </w:r>
      <w:r>
        <w:rPr>
          <w:rFonts w:asciiTheme="minorHAnsi" w:eastAsiaTheme="minorHAnsi" w:hAnsiTheme="minorHAnsi" w:cstheme="minorBidi"/>
          <w:sz w:val="22"/>
          <w:szCs w:val="22"/>
        </w:rPr>
        <w:t xml:space="preserve">. </w:t>
      </w:r>
    </w:p>
    <w:p w:rsidR="00EF7B16" w:rsidRDefault="00EF7B16" w:rsidP="00EF7B16">
      <w:pPr>
        <w:pStyle w:val="NormalWeb"/>
        <w:spacing w:before="0" w:beforeAutospacing="0" w:after="0" w:afterAutospacing="0"/>
        <w:rPr>
          <w:rFonts w:asciiTheme="minorHAnsi" w:eastAsiaTheme="minorHAnsi" w:hAnsiTheme="minorHAnsi" w:cstheme="minorBidi"/>
          <w:sz w:val="22"/>
          <w:szCs w:val="22"/>
        </w:rPr>
      </w:pPr>
    </w:p>
    <w:p w:rsidR="009B5E64" w:rsidRPr="00EF7B16" w:rsidRDefault="00EA1C8F" w:rsidP="00EF7B16">
      <w:pPr>
        <w:pStyle w:val="NormalWeb"/>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Academic s</w:t>
      </w:r>
      <w:r w:rsidR="009B5E64">
        <w:rPr>
          <w:rFonts w:asciiTheme="minorHAnsi" w:eastAsiaTheme="minorHAnsi" w:hAnsiTheme="minorHAnsi" w:cstheme="minorBidi"/>
          <w:sz w:val="22"/>
          <w:szCs w:val="22"/>
        </w:rPr>
        <w:t xml:space="preserve">alary paid </w:t>
      </w:r>
      <w:r>
        <w:rPr>
          <w:rFonts w:asciiTheme="minorHAnsi" w:eastAsiaTheme="minorHAnsi" w:hAnsiTheme="minorHAnsi" w:cstheme="minorBidi"/>
          <w:sz w:val="22"/>
          <w:szCs w:val="22"/>
        </w:rPr>
        <w:t xml:space="preserve">out </w:t>
      </w:r>
      <w:r w:rsidR="009B5E64">
        <w:rPr>
          <w:rFonts w:asciiTheme="minorHAnsi" w:eastAsiaTheme="minorHAnsi" w:hAnsiTheme="minorHAnsi" w:cstheme="minorBidi"/>
          <w:sz w:val="22"/>
          <w:szCs w:val="22"/>
        </w:rPr>
        <w:t>in the summer is excluded from</w:t>
      </w:r>
      <w:r>
        <w:rPr>
          <w:rFonts w:asciiTheme="minorHAnsi" w:eastAsiaTheme="minorHAnsi" w:hAnsiTheme="minorHAnsi" w:cstheme="minorBidi"/>
          <w:sz w:val="22"/>
          <w:szCs w:val="22"/>
        </w:rPr>
        <w:t xml:space="preserve"> the effort report </w:t>
      </w:r>
      <w:r w:rsidR="009B5E64">
        <w:rPr>
          <w:rFonts w:asciiTheme="minorHAnsi" w:eastAsiaTheme="minorHAnsi" w:hAnsiTheme="minorHAnsi" w:cstheme="minorBidi"/>
          <w:sz w:val="22"/>
          <w:szCs w:val="22"/>
        </w:rPr>
        <w:t xml:space="preserve">when the </w:t>
      </w:r>
      <w:r>
        <w:rPr>
          <w:rFonts w:asciiTheme="minorHAnsi" w:eastAsiaTheme="minorHAnsi" w:hAnsiTheme="minorHAnsi" w:cstheme="minorBidi"/>
          <w:sz w:val="22"/>
          <w:szCs w:val="22"/>
        </w:rPr>
        <w:t xml:space="preserve">payment </w:t>
      </w:r>
      <w:r w:rsidR="009B5E64">
        <w:rPr>
          <w:rFonts w:asciiTheme="minorHAnsi" w:eastAsiaTheme="minorHAnsi" w:hAnsiTheme="minorHAnsi" w:cstheme="minorBidi"/>
          <w:sz w:val="22"/>
          <w:szCs w:val="22"/>
        </w:rPr>
        <w:t>is for an</w:t>
      </w:r>
      <w:r w:rsidR="009B5E64" w:rsidRPr="009B5E64">
        <w:rPr>
          <w:rFonts w:asciiTheme="minorHAnsi" w:eastAsiaTheme="minorHAnsi" w:hAnsiTheme="minorHAnsi" w:cstheme="minorBidi"/>
          <w:sz w:val="22"/>
          <w:szCs w:val="22"/>
        </w:rPr>
        <w:t xml:space="preserve"> appointment of less than 12 months</w:t>
      </w:r>
      <w:r w:rsidR="009B5E64">
        <w:rPr>
          <w:rFonts w:asciiTheme="minorHAnsi" w:eastAsiaTheme="minorHAnsi" w:hAnsiTheme="minorHAnsi" w:cstheme="minorBidi"/>
          <w:sz w:val="22"/>
          <w:szCs w:val="22"/>
        </w:rPr>
        <w:t xml:space="preserve"> which the faculty elected</w:t>
      </w:r>
      <w:r w:rsidR="009B5E64" w:rsidRPr="009B5E64">
        <w:rPr>
          <w:rFonts w:asciiTheme="minorHAnsi" w:eastAsiaTheme="minorHAnsi" w:hAnsiTheme="minorHAnsi" w:cstheme="minorBidi"/>
          <w:sz w:val="22"/>
          <w:szCs w:val="22"/>
        </w:rPr>
        <w:t xml:space="preserve"> a 12 months’ </w:t>
      </w:r>
      <w:r w:rsidR="009B5E64">
        <w:rPr>
          <w:rFonts w:asciiTheme="minorHAnsi" w:eastAsiaTheme="minorHAnsi" w:hAnsiTheme="minorHAnsi" w:cstheme="minorBidi"/>
          <w:sz w:val="22"/>
          <w:szCs w:val="22"/>
        </w:rPr>
        <w:t xml:space="preserve">pay option. </w:t>
      </w:r>
      <w:r>
        <w:rPr>
          <w:rFonts w:asciiTheme="minorHAnsi" w:eastAsiaTheme="minorHAnsi" w:hAnsiTheme="minorHAnsi" w:cstheme="minorBidi"/>
          <w:sz w:val="22"/>
          <w:szCs w:val="22"/>
        </w:rPr>
        <w:t>For example, t</w:t>
      </w:r>
      <w:r w:rsidR="009B5E64">
        <w:rPr>
          <w:rFonts w:asciiTheme="minorHAnsi" w:eastAsiaTheme="minorHAnsi" w:hAnsiTheme="minorHAnsi" w:cstheme="minorBidi"/>
          <w:sz w:val="22"/>
          <w:szCs w:val="22"/>
        </w:rPr>
        <w:t xml:space="preserve">he salary for the 9 month appointment that is being paid in the summer months is not part of </w:t>
      </w:r>
      <w:r>
        <w:rPr>
          <w:rFonts w:asciiTheme="minorHAnsi" w:eastAsiaTheme="minorHAnsi" w:hAnsiTheme="minorHAnsi" w:cstheme="minorBidi"/>
          <w:sz w:val="22"/>
          <w:szCs w:val="22"/>
        </w:rPr>
        <w:t>the faculty member’s compensation</w:t>
      </w:r>
      <w:r w:rsidR="009B5E64">
        <w:rPr>
          <w:rFonts w:asciiTheme="minorHAnsi" w:eastAsiaTheme="minorHAnsi" w:hAnsiTheme="minorHAnsi" w:cstheme="minorBidi"/>
          <w:sz w:val="22"/>
          <w:szCs w:val="22"/>
        </w:rPr>
        <w:t xml:space="preserve"> for the summer and should not be included in effort reporting during that time.  </w:t>
      </w:r>
    </w:p>
    <w:p w:rsidR="006A61B8" w:rsidRDefault="006A61B8" w:rsidP="006A61B8">
      <w:pPr>
        <w:pStyle w:val="NormalWeb"/>
        <w:spacing w:before="0" w:beforeAutospacing="0" w:after="0" w:afterAutospacing="0"/>
        <w:rPr>
          <w:rFonts w:asciiTheme="minorHAnsi" w:eastAsiaTheme="minorHAnsi" w:hAnsiTheme="minorHAnsi" w:cstheme="minorBidi"/>
          <w:sz w:val="22"/>
          <w:szCs w:val="22"/>
        </w:rPr>
      </w:pPr>
    </w:p>
    <w:p w:rsidR="006A61B8" w:rsidRPr="006A61B8" w:rsidRDefault="006A61B8" w:rsidP="006A61B8">
      <w:pPr>
        <w:pStyle w:val="NormalWeb"/>
        <w:spacing w:before="0" w:beforeAutospacing="0" w:after="0" w:afterAutospacing="0"/>
        <w:rPr>
          <w:rFonts w:asciiTheme="minorHAnsi" w:eastAsiaTheme="minorHAnsi" w:hAnsiTheme="minorHAnsi" w:cstheme="minorBidi"/>
          <w:b/>
        </w:rPr>
      </w:pPr>
      <w:r w:rsidRPr="006A61B8">
        <w:rPr>
          <w:rFonts w:asciiTheme="minorHAnsi" w:eastAsiaTheme="minorHAnsi" w:hAnsiTheme="minorHAnsi" w:cstheme="minorBidi"/>
          <w:b/>
        </w:rPr>
        <w:t>Additional Compensation</w:t>
      </w:r>
    </w:p>
    <w:p w:rsidR="00751700" w:rsidRDefault="006A61B8" w:rsidP="006A61B8">
      <w:pPr>
        <w:pStyle w:val="NormalWeb"/>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When</w:t>
      </w:r>
      <w:r w:rsidRPr="006A61B8">
        <w:rPr>
          <w:rFonts w:asciiTheme="minorHAnsi" w:eastAsiaTheme="minorHAnsi" w:hAnsiTheme="minorHAnsi" w:cstheme="minorBidi"/>
          <w:sz w:val="22"/>
          <w:szCs w:val="22"/>
        </w:rPr>
        <w:t xml:space="preserve"> additional pay </w:t>
      </w:r>
      <w:r>
        <w:rPr>
          <w:rFonts w:asciiTheme="minorHAnsi" w:eastAsiaTheme="minorHAnsi" w:hAnsiTheme="minorHAnsi" w:cstheme="minorBidi"/>
          <w:sz w:val="22"/>
          <w:szCs w:val="22"/>
        </w:rPr>
        <w:t>is for incidental work that is non-recurring (less than a semester) and not part of an employee’s primary appointment, it is excluded from IBS and from effort reporting.  When additional compensation is for an indefinite period (more than a semester)</w:t>
      </w:r>
      <w:r w:rsidR="004A4341">
        <w:rPr>
          <w:rFonts w:asciiTheme="minorHAnsi" w:eastAsiaTheme="minorHAnsi" w:hAnsiTheme="minorHAnsi" w:cstheme="minorBidi"/>
          <w:sz w:val="22"/>
          <w:szCs w:val="22"/>
        </w:rPr>
        <w:t xml:space="preserve"> and covers</w:t>
      </w:r>
      <w:r>
        <w:rPr>
          <w:rFonts w:asciiTheme="minorHAnsi" w:eastAsiaTheme="minorHAnsi" w:hAnsiTheme="minorHAnsi" w:cstheme="minorBidi"/>
          <w:sz w:val="22"/>
          <w:szCs w:val="22"/>
        </w:rPr>
        <w:t xml:space="preserve"> </w:t>
      </w:r>
      <w:r w:rsidR="00751700" w:rsidRPr="006A61B8">
        <w:rPr>
          <w:rFonts w:asciiTheme="minorHAnsi" w:eastAsiaTheme="minorHAnsi" w:hAnsiTheme="minorHAnsi" w:cstheme="minorBidi"/>
          <w:sz w:val="22"/>
          <w:szCs w:val="22"/>
        </w:rPr>
        <w:t xml:space="preserve">activities </w:t>
      </w:r>
      <w:r w:rsidR="004A4341">
        <w:rPr>
          <w:rFonts w:asciiTheme="minorHAnsi" w:eastAsiaTheme="minorHAnsi" w:hAnsiTheme="minorHAnsi" w:cstheme="minorBidi"/>
          <w:sz w:val="22"/>
          <w:szCs w:val="22"/>
        </w:rPr>
        <w:t xml:space="preserve">which are </w:t>
      </w:r>
      <w:r>
        <w:rPr>
          <w:rFonts w:asciiTheme="minorHAnsi" w:eastAsiaTheme="minorHAnsi" w:hAnsiTheme="minorHAnsi" w:cstheme="minorBidi"/>
          <w:sz w:val="22"/>
          <w:szCs w:val="22"/>
        </w:rPr>
        <w:t xml:space="preserve">aligned with the individual’s appointment, and is in excess of the normal responsibility of an individual primary position, it is included in </w:t>
      </w:r>
      <w:r w:rsidR="004A4341">
        <w:rPr>
          <w:rFonts w:asciiTheme="minorHAnsi" w:eastAsiaTheme="minorHAnsi" w:hAnsiTheme="minorHAnsi" w:cstheme="minorBidi"/>
          <w:sz w:val="22"/>
          <w:szCs w:val="22"/>
        </w:rPr>
        <w:t xml:space="preserve">the </w:t>
      </w:r>
      <w:r>
        <w:rPr>
          <w:rFonts w:asciiTheme="minorHAnsi" w:eastAsiaTheme="minorHAnsi" w:hAnsiTheme="minorHAnsi" w:cstheme="minorBidi"/>
          <w:sz w:val="22"/>
          <w:szCs w:val="22"/>
        </w:rPr>
        <w:t>IBS and is part of effort reporting. An example of additional compensation included in the IB</w:t>
      </w:r>
      <w:r w:rsidR="004A4341">
        <w:rPr>
          <w:rFonts w:asciiTheme="minorHAnsi" w:eastAsiaTheme="minorHAnsi" w:hAnsiTheme="minorHAnsi" w:cstheme="minorBidi"/>
          <w:sz w:val="22"/>
          <w:szCs w:val="22"/>
        </w:rPr>
        <w:t>S</w:t>
      </w:r>
      <w:r>
        <w:rPr>
          <w:rFonts w:asciiTheme="minorHAnsi" w:eastAsiaTheme="minorHAnsi" w:hAnsiTheme="minorHAnsi" w:cstheme="minorBidi"/>
          <w:sz w:val="22"/>
          <w:szCs w:val="22"/>
        </w:rPr>
        <w:t xml:space="preserve"> is an individual receiving an administrative stipend for serving as a department chair or director. </w:t>
      </w:r>
      <w:r w:rsidR="004A4341">
        <w:rPr>
          <w:rFonts w:asciiTheme="minorHAnsi" w:eastAsiaTheme="minorHAnsi" w:hAnsiTheme="minorHAnsi" w:cstheme="minorBidi"/>
          <w:sz w:val="22"/>
          <w:szCs w:val="22"/>
        </w:rPr>
        <w:t xml:space="preserve">The </w:t>
      </w:r>
      <w:r>
        <w:rPr>
          <w:rFonts w:asciiTheme="minorHAnsi" w:eastAsiaTheme="minorHAnsi" w:hAnsiTheme="minorHAnsi" w:cstheme="minorBidi"/>
          <w:sz w:val="22"/>
          <w:szCs w:val="22"/>
        </w:rPr>
        <w:t xml:space="preserve">chart </w:t>
      </w:r>
      <w:r w:rsidR="004A4341">
        <w:rPr>
          <w:rFonts w:asciiTheme="minorHAnsi" w:eastAsiaTheme="minorHAnsi" w:hAnsiTheme="minorHAnsi" w:cstheme="minorBidi"/>
          <w:sz w:val="22"/>
          <w:szCs w:val="22"/>
        </w:rPr>
        <w:t xml:space="preserve">below demonstrates </w:t>
      </w:r>
      <w:r>
        <w:rPr>
          <w:rFonts w:asciiTheme="minorHAnsi" w:eastAsiaTheme="minorHAnsi" w:hAnsiTheme="minorHAnsi" w:cstheme="minorBidi"/>
          <w:sz w:val="22"/>
          <w:szCs w:val="22"/>
        </w:rPr>
        <w:t xml:space="preserve">how the </w:t>
      </w:r>
      <w:r w:rsidR="004A4341">
        <w:rPr>
          <w:rFonts w:asciiTheme="minorHAnsi" w:eastAsiaTheme="minorHAnsi" w:hAnsiTheme="minorHAnsi" w:cstheme="minorBidi"/>
          <w:sz w:val="22"/>
          <w:szCs w:val="22"/>
        </w:rPr>
        <w:t>new</w:t>
      </w:r>
      <w:r>
        <w:rPr>
          <w:rFonts w:asciiTheme="minorHAnsi" w:eastAsiaTheme="minorHAnsi" w:hAnsiTheme="minorHAnsi" w:cstheme="minorBidi"/>
          <w:sz w:val="22"/>
          <w:szCs w:val="22"/>
        </w:rPr>
        <w:t xml:space="preserve"> appointment causes an increase in </w:t>
      </w:r>
      <w:r w:rsidR="004A4341">
        <w:rPr>
          <w:rFonts w:asciiTheme="minorHAnsi" w:eastAsiaTheme="minorHAnsi" w:hAnsiTheme="minorHAnsi" w:cstheme="minorBidi"/>
          <w:sz w:val="22"/>
          <w:szCs w:val="22"/>
        </w:rPr>
        <w:t xml:space="preserve">the </w:t>
      </w:r>
      <w:r>
        <w:rPr>
          <w:rFonts w:asciiTheme="minorHAnsi" w:eastAsiaTheme="minorHAnsi" w:hAnsiTheme="minorHAnsi" w:cstheme="minorBidi"/>
          <w:sz w:val="22"/>
          <w:szCs w:val="22"/>
        </w:rPr>
        <w:t xml:space="preserve">IBS and changes the effort distribution for the individual. </w:t>
      </w:r>
    </w:p>
    <w:p w:rsidR="006A61B8" w:rsidRPr="006A61B8" w:rsidRDefault="006A61B8" w:rsidP="006A61B8">
      <w:pPr>
        <w:pStyle w:val="NormalWeb"/>
        <w:spacing w:before="0" w:beforeAutospacing="0" w:after="0" w:afterAutospacing="0"/>
        <w:rPr>
          <w:rFonts w:asciiTheme="minorHAnsi" w:eastAsiaTheme="minorHAnsi" w:hAnsiTheme="minorHAnsi" w:cstheme="minorBidi"/>
          <w:sz w:val="22"/>
          <w:szCs w:val="22"/>
        </w:rPr>
      </w:pPr>
    </w:p>
    <w:tbl>
      <w:tblPr>
        <w:tblW w:w="10705" w:type="dxa"/>
        <w:tblInd w:w="597" w:type="dxa"/>
        <w:tblLook w:val="04A0" w:firstRow="1" w:lastRow="0" w:firstColumn="1" w:lastColumn="0" w:noHBand="0" w:noVBand="1"/>
      </w:tblPr>
      <w:tblGrid>
        <w:gridCol w:w="5273"/>
        <w:gridCol w:w="1121"/>
        <w:gridCol w:w="1251"/>
        <w:gridCol w:w="295"/>
        <w:gridCol w:w="1182"/>
        <w:gridCol w:w="295"/>
        <w:gridCol w:w="1288"/>
      </w:tblGrid>
      <w:tr w:rsidR="006E0B1B" w:rsidRPr="00CA0BE9" w:rsidTr="006A61B8">
        <w:trPr>
          <w:trHeight w:val="368"/>
        </w:trPr>
        <w:tc>
          <w:tcPr>
            <w:tcW w:w="5273" w:type="dxa"/>
            <w:tcBorders>
              <w:top w:val="single" w:sz="12" w:space="0" w:color="auto"/>
              <w:left w:val="single" w:sz="12" w:space="0" w:color="auto"/>
              <w:bottom w:val="single" w:sz="4" w:space="0" w:color="000000"/>
              <w:right w:val="single" w:sz="4" w:space="0" w:color="000000"/>
            </w:tcBorders>
            <w:shd w:val="clear" w:color="000000" w:fill="F2F2F2"/>
            <w:hideMark/>
          </w:tcPr>
          <w:p w:rsidR="006E0B1B" w:rsidRPr="00CA0BE9" w:rsidRDefault="006E0B1B" w:rsidP="00EF7B16">
            <w:pPr>
              <w:spacing w:after="0" w:line="240" w:lineRule="auto"/>
              <w:rPr>
                <w:rFonts w:ascii="Calibri" w:eastAsia="Times New Roman" w:hAnsi="Calibri" w:cs="Arial"/>
                <w:b/>
                <w:bCs/>
                <w:color w:val="000000"/>
              </w:rPr>
            </w:pPr>
            <w:r w:rsidRPr="00CA0BE9">
              <w:rPr>
                <w:rFonts w:ascii="Calibri" w:eastAsia="Times New Roman" w:hAnsi="Calibri" w:cs="Arial"/>
                <w:b/>
                <w:bCs/>
                <w:color w:val="000000"/>
              </w:rPr>
              <w:t xml:space="preserve">Example of </w:t>
            </w:r>
            <w:r w:rsidR="00EF7B16">
              <w:rPr>
                <w:rFonts w:ascii="Calibri" w:eastAsia="Times New Roman" w:hAnsi="Calibri" w:cs="Arial"/>
                <w:b/>
                <w:bCs/>
                <w:color w:val="000000"/>
              </w:rPr>
              <w:t>How to Calculate Effort</w:t>
            </w:r>
          </w:p>
        </w:tc>
        <w:tc>
          <w:tcPr>
            <w:tcW w:w="1121" w:type="dxa"/>
            <w:tcBorders>
              <w:top w:val="single" w:sz="12" w:space="0" w:color="auto"/>
              <w:left w:val="nil"/>
              <w:bottom w:val="single" w:sz="4" w:space="0" w:color="000000"/>
              <w:right w:val="single" w:sz="4" w:space="0" w:color="000000"/>
            </w:tcBorders>
            <w:shd w:val="clear" w:color="000000" w:fill="F2F2F2"/>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Salary</w:t>
            </w:r>
          </w:p>
        </w:tc>
        <w:tc>
          <w:tcPr>
            <w:tcW w:w="1251" w:type="dxa"/>
            <w:tcBorders>
              <w:top w:val="single" w:sz="12" w:space="0" w:color="auto"/>
              <w:left w:val="nil"/>
              <w:bottom w:val="single" w:sz="4" w:space="0" w:color="000000"/>
              <w:right w:val="single" w:sz="12" w:space="0" w:color="auto"/>
            </w:tcBorders>
            <w:shd w:val="clear" w:color="000000" w:fill="F2F2F2"/>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Effort for 9-Month Appt.</w:t>
            </w:r>
          </w:p>
        </w:tc>
        <w:tc>
          <w:tcPr>
            <w:tcW w:w="295" w:type="dxa"/>
            <w:tcBorders>
              <w:top w:val="nil"/>
              <w:left w:val="single" w:sz="12" w:space="0" w:color="auto"/>
              <w:bottom w:val="nil"/>
              <w:right w:val="single" w:sz="12" w:space="0" w:color="C45911" w:themeColor="accent2" w:themeShade="BF"/>
            </w:tcBorders>
            <w:shd w:val="clear" w:color="auto" w:fill="auto"/>
            <w:noWrap/>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182" w:type="dxa"/>
            <w:tcBorders>
              <w:top w:val="single" w:sz="12" w:space="0" w:color="C45911" w:themeColor="accent2" w:themeShade="BF"/>
              <w:left w:val="single" w:sz="12" w:space="0" w:color="C45911" w:themeColor="accent2" w:themeShade="BF"/>
              <w:bottom w:val="single" w:sz="4" w:space="0" w:color="000000"/>
              <w:right w:val="single" w:sz="12" w:space="0" w:color="C45911" w:themeColor="accent2" w:themeShade="BF"/>
            </w:tcBorders>
            <w:shd w:val="clear" w:color="000000" w:fill="F2F2F2"/>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Effort incl. Chair Appt.</w:t>
            </w:r>
          </w:p>
        </w:tc>
        <w:tc>
          <w:tcPr>
            <w:tcW w:w="295" w:type="dxa"/>
            <w:tcBorders>
              <w:top w:val="nil"/>
              <w:left w:val="single" w:sz="12" w:space="0" w:color="C45911" w:themeColor="accent2" w:themeShade="BF"/>
              <w:bottom w:val="nil"/>
              <w:right w:val="single" w:sz="12" w:space="0" w:color="70AD47" w:themeColor="accent6"/>
            </w:tcBorders>
            <w:shd w:val="clear" w:color="auto" w:fill="auto"/>
            <w:noWrap/>
            <w:vAlign w:val="bottom"/>
            <w:hideMark/>
          </w:tcPr>
          <w:p w:rsidR="006E0B1B" w:rsidRPr="00CA0BE9" w:rsidRDefault="006E0B1B" w:rsidP="00816B90">
            <w:pPr>
              <w:spacing w:after="0" w:line="240" w:lineRule="auto"/>
              <w:rPr>
                <w:rFonts w:ascii="Arial" w:eastAsia="Times New Roman" w:hAnsi="Arial" w:cs="Arial"/>
                <w:color w:val="000000"/>
              </w:rPr>
            </w:pPr>
            <w:r w:rsidRPr="00CA0BE9">
              <w:rPr>
                <w:rFonts w:ascii="Arial" w:eastAsia="Times New Roman" w:hAnsi="Arial" w:cs="Arial"/>
                <w:color w:val="000000"/>
              </w:rPr>
              <w:t> </w:t>
            </w:r>
          </w:p>
        </w:tc>
        <w:tc>
          <w:tcPr>
            <w:tcW w:w="1288" w:type="dxa"/>
            <w:tcBorders>
              <w:top w:val="single" w:sz="12" w:space="0" w:color="70AD47" w:themeColor="accent6"/>
              <w:left w:val="single" w:sz="12" w:space="0" w:color="70AD47" w:themeColor="accent6"/>
              <w:bottom w:val="nil"/>
              <w:right w:val="single" w:sz="12" w:space="0" w:color="70AD47" w:themeColor="accent6"/>
            </w:tcBorders>
            <w:shd w:val="clear" w:color="000000" w:fill="F2F2F2"/>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Effort incl. Additional Teaching</w:t>
            </w:r>
          </w:p>
        </w:tc>
      </w:tr>
      <w:tr w:rsidR="006E0B1B" w:rsidRPr="00CA0BE9" w:rsidTr="006A61B8">
        <w:trPr>
          <w:trHeight w:val="553"/>
        </w:trPr>
        <w:tc>
          <w:tcPr>
            <w:tcW w:w="5273" w:type="dxa"/>
            <w:tcBorders>
              <w:top w:val="nil"/>
              <w:left w:val="single" w:sz="12" w:space="0" w:color="auto"/>
              <w:bottom w:val="single" w:sz="4" w:space="0" w:color="000000"/>
              <w:right w:val="single" w:sz="4" w:space="0" w:color="000000"/>
            </w:tcBorders>
            <w:shd w:val="clear" w:color="auto" w:fill="auto"/>
            <w:vAlign w:val="center"/>
            <w:hideMark/>
          </w:tcPr>
          <w:p w:rsidR="006E0B1B" w:rsidRPr="00CA0BE9" w:rsidRDefault="006E0B1B" w:rsidP="00816B90">
            <w:pPr>
              <w:spacing w:after="0" w:line="240" w:lineRule="auto"/>
              <w:rPr>
                <w:rFonts w:ascii="Calibri" w:eastAsia="Times New Roman" w:hAnsi="Calibri" w:cs="Arial"/>
                <w:color w:val="000000"/>
              </w:rPr>
            </w:pPr>
            <w:r w:rsidRPr="00CA0BE9">
              <w:rPr>
                <w:rFonts w:ascii="Calibri" w:eastAsia="Times New Roman" w:hAnsi="Calibri" w:cs="Arial"/>
                <w:color w:val="000000"/>
              </w:rPr>
              <w:t xml:space="preserve">Dr. X earns 90,000 during the 9-month appointment and dedicates 50%  time to </w:t>
            </w:r>
            <w:r w:rsidRPr="00CA0BE9">
              <w:rPr>
                <w:rFonts w:ascii="Calibri" w:eastAsia="Times New Roman" w:hAnsi="Calibri" w:cs="Arial"/>
                <w:b/>
                <w:color w:val="000000"/>
              </w:rPr>
              <w:t>Research</w:t>
            </w:r>
          </w:p>
        </w:tc>
        <w:tc>
          <w:tcPr>
            <w:tcW w:w="1121" w:type="dxa"/>
            <w:tcBorders>
              <w:top w:val="nil"/>
              <w:left w:val="nil"/>
              <w:bottom w:val="single" w:sz="4" w:space="0" w:color="000000"/>
              <w:right w:val="single" w:sz="4" w:space="0" w:color="000000"/>
            </w:tcBorders>
            <w:shd w:val="clear" w:color="auto" w:fill="auto"/>
            <w:vAlign w:val="center"/>
            <w:hideMark/>
          </w:tcPr>
          <w:p w:rsidR="006E0B1B" w:rsidRPr="00CA0BE9" w:rsidRDefault="006E0B1B" w:rsidP="006A61B8">
            <w:pPr>
              <w:spacing w:after="0" w:line="240" w:lineRule="auto"/>
              <w:jc w:val="both"/>
              <w:rPr>
                <w:rFonts w:ascii="Calibri" w:eastAsia="Times New Roman" w:hAnsi="Calibri" w:cs="Arial"/>
                <w:color w:val="000000"/>
              </w:rPr>
            </w:pPr>
            <w:r w:rsidRPr="00CA0BE9">
              <w:rPr>
                <w:rFonts w:ascii="Calibri" w:eastAsia="Times New Roman" w:hAnsi="Calibri" w:cs="Arial"/>
                <w:color w:val="000000"/>
              </w:rPr>
              <w:t xml:space="preserve">$45,000 </w:t>
            </w:r>
          </w:p>
        </w:tc>
        <w:tc>
          <w:tcPr>
            <w:tcW w:w="1251" w:type="dxa"/>
            <w:tcBorders>
              <w:top w:val="nil"/>
              <w:left w:val="nil"/>
              <w:bottom w:val="single" w:sz="4" w:space="0" w:color="000000"/>
              <w:right w:val="single" w:sz="12" w:space="0" w:color="auto"/>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50%</w:t>
            </w:r>
          </w:p>
        </w:tc>
        <w:tc>
          <w:tcPr>
            <w:tcW w:w="295" w:type="dxa"/>
            <w:tcBorders>
              <w:top w:val="nil"/>
              <w:left w:val="single" w:sz="12" w:space="0" w:color="auto"/>
              <w:bottom w:val="nil"/>
              <w:right w:val="single" w:sz="12" w:space="0" w:color="C45911" w:themeColor="accent2" w:themeShade="BF"/>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182" w:type="dxa"/>
            <w:tcBorders>
              <w:top w:val="nil"/>
              <w:left w:val="single" w:sz="12" w:space="0" w:color="C45911" w:themeColor="accent2" w:themeShade="BF"/>
              <w:bottom w:val="single" w:sz="4" w:space="0" w:color="auto"/>
              <w:right w:val="single" w:sz="12" w:space="0" w:color="C45911" w:themeColor="accent2" w:themeShade="BF"/>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40%</w:t>
            </w:r>
          </w:p>
        </w:tc>
        <w:tc>
          <w:tcPr>
            <w:tcW w:w="295" w:type="dxa"/>
            <w:tcBorders>
              <w:top w:val="nil"/>
              <w:left w:val="single" w:sz="12" w:space="0" w:color="C45911" w:themeColor="accent2" w:themeShade="BF"/>
              <w:bottom w:val="nil"/>
              <w:right w:val="single" w:sz="12" w:space="0" w:color="70AD47" w:themeColor="accent6"/>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88" w:type="dxa"/>
            <w:tcBorders>
              <w:top w:val="single" w:sz="4" w:space="0" w:color="auto"/>
              <w:left w:val="single" w:sz="12" w:space="0" w:color="70AD47" w:themeColor="accent6"/>
              <w:bottom w:val="single" w:sz="4" w:space="0" w:color="auto"/>
              <w:right w:val="single" w:sz="12" w:space="0" w:color="70AD47" w:themeColor="accent6"/>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38%</w:t>
            </w:r>
          </w:p>
        </w:tc>
      </w:tr>
      <w:tr w:rsidR="006E0B1B" w:rsidRPr="00CA0BE9" w:rsidTr="006A61B8">
        <w:trPr>
          <w:trHeight w:val="442"/>
        </w:trPr>
        <w:tc>
          <w:tcPr>
            <w:tcW w:w="5273" w:type="dxa"/>
            <w:tcBorders>
              <w:top w:val="nil"/>
              <w:left w:val="single" w:sz="12" w:space="0" w:color="auto"/>
              <w:bottom w:val="single" w:sz="4" w:space="0" w:color="000000"/>
              <w:right w:val="single" w:sz="4" w:space="0" w:color="000000"/>
            </w:tcBorders>
            <w:shd w:val="clear" w:color="auto" w:fill="auto"/>
            <w:vAlign w:val="center"/>
            <w:hideMark/>
          </w:tcPr>
          <w:p w:rsidR="006E0B1B" w:rsidRPr="00CA0BE9" w:rsidRDefault="006E0B1B" w:rsidP="00816B90">
            <w:pPr>
              <w:spacing w:after="0" w:line="240" w:lineRule="auto"/>
              <w:rPr>
                <w:rFonts w:ascii="Calibri" w:eastAsia="Times New Roman" w:hAnsi="Calibri" w:cs="Arial"/>
                <w:color w:val="000000"/>
              </w:rPr>
            </w:pPr>
            <w:r w:rsidRPr="00CA0BE9">
              <w:rPr>
                <w:rFonts w:ascii="Calibri" w:eastAsia="Times New Roman" w:hAnsi="Calibri" w:cs="Arial"/>
                <w:color w:val="000000"/>
              </w:rPr>
              <w:t xml:space="preserve">Dr. X earns 90,000 during the 9-month appointment and dedicates 50% to </w:t>
            </w:r>
            <w:r w:rsidRPr="00CA0BE9">
              <w:rPr>
                <w:rFonts w:ascii="Calibri" w:eastAsia="Times New Roman" w:hAnsi="Calibri" w:cs="Arial"/>
                <w:b/>
                <w:color w:val="000000"/>
              </w:rPr>
              <w:t>Teaching</w:t>
            </w:r>
          </w:p>
        </w:tc>
        <w:tc>
          <w:tcPr>
            <w:tcW w:w="1121" w:type="dxa"/>
            <w:tcBorders>
              <w:top w:val="nil"/>
              <w:left w:val="nil"/>
              <w:bottom w:val="single" w:sz="4" w:space="0" w:color="000000"/>
              <w:right w:val="single" w:sz="4" w:space="0" w:color="000000"/>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xml:space="preserve">$45,000 </w:t>
            </w:r>
          </w:p>
        </w:tc>
        <w:tc>
          <w:tcPr>
            <w:tcW w:w="1251" w:type="dxa"/>
            <w:tcBorders>
              <w:top w:val="nil"/>
              <w:left w:val="nil"/>
              <w:bottom w:val="single" w:sz="4" w:space="0" w:color="000000"/>
              <w:right w:val="single" w:sz="12" w:space="0" w:color="auto"/>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50%</w:t>
            </w:r>
          </w:p>
        </w:tc>
        <w:tc>
          <w:tcPr>
            <w:tcW w:w="295" w:type="dxa"/>
            <w:tcBorders>
              <w:top w:val="nil"/>
              <w:left w:val="single" w:sz="12" w:space="0" w:color="auto"/>
              <w:bottom w:val="nil"/>
              <w:right w:val="single" w:sz="12" w:space="0" w:color="C45911" w:themeColor="accent2" w:themeShade="BF"/>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182" w:type="dxa"/>
            <w:tcBorders>
              <w:top w:val="nil"/>
              <w:left w:val="single" w:sz="12" w:space="0" w:color="C45911" w:themeColor="accent2" w:themeShade="BF"/>
              <w:bottom w:val="single" w:sz="4" w:space="0" w:color="auto"/>
              <w:right w:val="single" w:sz="12" w:space="0" w:color="C45911" w:themeColor="accent2" w:themeShade="BF"/>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40%</w:t>
            </w:r>
          </w:p>
        </w:tc>
        <w:tc>
          <w:tcPr>
            <w:tcW w:w="295" w:type="dxa"/>
            <w:tcBorders>
              <w:top w:val="nil"/>
              <w:left w:val="single" w:sz="12" w:space="0" w:color="C45911" w:themeColor="accent2" w:themeShade="BF"/>
              <w:bottom w:val="nil"/>
              <w:right w:val="single" w:sz="12" w:space="0" w:color="70AD47" w:themeColor="accent6"/>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88" w:type="dxa"/>
            <w:tcBorders>
              <w:top w:val="nil"/>
              <w:left w:val="single" w:sz="12" w:space="0" w:color="70AD47" w:themeColor="accent6"/>
              <w:bottom w:val="single" w:sz="4" w:space="0" w:color="auto"/>
              <w:right w:val="single" w:sz="12" w:space="0" w:color="70AD47" w:themeColor="accent6"/>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38%</w:t>
            </w:r>
          </w:p>
        </w:tc>
      </w:tr>
      <w:tr w:rsidR="006E0B1B" w:rsidRPr="00CA0BE9" w:rsidTr="006A61B8">
        <w:trPr>
          <w:trHeight w:val="184"/>
        </w:trPr>
        <w:tc>
          <w:tcPr>
            <w:tcW w:w="5273" w:type="dxa"/>
            <w:tcBorders>
              <w:top w:val="nil"/>
              <w:left w:val="single" w:sz="12" w:space="0" w:color="auto"/>
              <w:bottom w:val="single" w:sz="4" w:space="0" w:color="auto"/>
              <w:right w:val="single" w:sz="4" w:space="0" w:color="000000"/>
            </w:tcBorders>
            <w:shd w:val="clear" w:color="000000" w:fill="FFF2CC"/>
            <w:vAlign w:val="center"/>
            <w:hideMark/>
          </w:tcPr>
          <w:p w:rsidR="006E0B1B" w:rsidRPr="00CA0BE9" w:rsidRDefault="006E0B1B" w:rsidP="00816B90">
            <w:pPr>
              <w:spacing w:after="0" w:line="240" w:lineRule="auto"/>
              <w:rPr>
                <w:rFonts w:ascii="Calibri" w:eastAsia="Times New Roman" w:hAnsi="Calibri" w:cs="Arial"/>
                <w:b/>
                <w:bCs/>
                <w:color w:val="000000"/>
              </w:rPr>
            </w:pPr>
            <w:r w:rsidRPr="00CA0BE9">
              <w:rPr>
                <w:rFonts w:ascii="Calibri" w:eastAsia="Times New Roman" w:hAnsi="Calibri" w:cs="Arial"/>
                <w:b/>
                <w:bCs/>
                <w:color w:val="000000"/>
              </w:rPr>
              <w:t>Current Institutional Base Salary</w:t>
            </w:r>
            <w:r>
              <w:rPr>
                <w:rFonts w:ascii="Calibri" w:eastAsia="Times New Roman" w:hAnsi="Calibri" w:cs="Arial"/>
                <w:b/>
                <w:bCs/>
                <w:color w:val="000000"/>
              </w:rPr>
              <w:t xml:space="preserve"> (IBS)</w:t>
            </w:r>
          </w:p>
        </w:tc>
        <w:tc>
          <w:tcPr>
            <w:tcW w:w="1121" w:type="dxa"/>
            <w:tcBorders>
              <w:top w:val="nil"/>
              <w:left w:val="nil"/>
              <w:bottom w:val="single" w:sz="4" w:space="0" w:color="auto"/>
              <w:right w:val="single" w:sz="4" w:space="0" w:color="000000"/>
            </w:tcBorders>
            <w:shd w:val="clear" w:color="000000" w:fill="FFF2CC"/>
            <w:vAlign w:val="center"/>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 xml:space="preserve">$90,000 </w:t>
            </w:r>
          </w:p>
        </w:tc>
        <w:tc>
          <w:tcPr>
            <w:tcW w:w="1251" w:type="dxa"/>
            <w:tcBorders>
              <w:top w:val="nil"/>
              <w:left w:val="nil"/>
              <w:bottom w:val="single" w:sz="4" w:space="0" w:color="auto"/>
              <w:right w:val="single" w:sz="12" w:space="0" w:color="auto"/>
            </w:tcBorders>
            <w:shd w:val="clear" w:color="000000" w:fill="FFF2CC"/>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nil"/>
              <w:left w:val="single" w:sz="12" w:space="0" w:color="auto"/>
              <w:bottom w:val="nil"/>
              <w:right w:val="single" w:sz="12" w:space="0" w:color="C45911" w:themeColor="accent2" w:themeShade="BF"/>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182" w:type="dxa"/>
            <w:tcBorders>
              <w:top w:val="nil"/>
              <w:left w:val="single" w:sz="12" w:space="0" w:color="C45911" w:themeColor="accent2" w:themeShade="BF"/>
              <w:bottom w:val="single" w:sz="4" w:space="0" w:color="auto"/>
              <w:right w:val="single" w:sz="12" w:space="0" w:color="C45911" w:themeColor="accent2" w:themeShade="BF"/>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nil"/>
              <w:left w:val="single" w:sz="12" w:space="0" w:color="C45911" w:themeColor="accent2" w:themeShade="BF"/>
              <w:bottom w:val="nil"/>
              <w:right w:val="single" w:sz="12" w:space="0" w:color="70AD47" w:themeColor="accent6"/>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88" w:type="dxa"/>
            <w:tcBorders>
              <w:top w:val="nil"/>
              <w:left w:val="single" w:sz="12" w:space="0" w:color="70AD47" w:themeColor="accent6"/>
              <w:bottom w:val="single" w:sz="4" w:space="0" w:color="auto"/>
              <w:right w:val="single" w:sz="12" w:space="0" w:color="70AD47" w:themeColor="accent6"/>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r>
      <w:tr w:rsidR="006E0B1B" w:rsidRPr="00CA0BE9" w:rsidTr="006A61B8">
        <w:trPr>
          <w:trHeight w:val="192"/>
        </w:trPr>
        <w:tc>
          <w:tcPr>
            <w:tcW w:w="5273" w:type="dxa"/>
            <w:tcBorders>
              <w:top w:val="nil"/>
              <w:left w:val="single" w:sz="12" w:space="0" w:color="auto"/>
              <w:bottom w:val="single" w:sz="12" w:space="0" w:color="auto"/>
              <w:right w:val="single" w:sz="4" w:space="0" w:color="000000"/>
            </w:tcBorders>
            <w:shd w:val="clear" w:color="000000" w:fill="C6E0B4"/>
            <w:vAlign w:val="center"/>
            <w:hideMark/>
          </w:tcPr>
          <w:p w:rsidR="006E0B1B" w:rsidRPr="00CA0BE9" w:rsidRDefault="006E0B1B" w:rsidP="00816B90">
            <w:pPr>
              <w:spacing w:after="0" w:line="240" w:lineRule="auto"/>
              <w:rPr>
                <w:rFonts w:ascii="Calibri" w:eastAsia="Times New Roman" w:hAnsi="Calibri" w:cs="Arial"/>
                <w:b/>
                <w:bCs/>
                <w:color w:val="000000"/>
              </w:rPr>
            </w:pPr>
            <w:r w:rsidRPr="00CA0BE9">
              <w:rPr>
                <w:rFonts w:ascii="Calibri" w:eastAsia="Times New Roman" w:hAnsi="Calibri" w:cs="Arial"/>
                <w:b/>
                <w:bCs/>
                <w:color w:val="000000"/>
              </w:rPr>
              <w:t xml:space="preserve">Total Effort </w:t>
            </w:r>
          </w:p>
        </w:tc>
        <w:tc>
          <w:tcPr>
            <w:tcW w:w="1121" w:type="dxa"/>
            <w:tcBorders>
              <w:top w:val="nil"/>
              <w:left w:val="nil"/>
              <w:bottom w:val="single" w:sz="12" w:space="0" w:color="auto"/>
              <w:right w:val="single" w:sz="4" w:space="0" w:color="000000"/>
            </w:tcBorders>
            <w:shd w:val="clear" w:color="000000" w:fill="C6E0B4"/>
            <w:vAlign w:val="center"/>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 </w:t>
            </w:r>
          </w:p>
        </w:tc>
        <w:tc>
          <w:tcPr>
            <w:tcW w:w="1251" w:type="dxa"/>
            <w:tcBorders>
              <w:top w:val="nil"/>
              <w:left w:val="nil"/>
              <w:bottom w:val="single" w:sz="12" w:space="0" w:color="auto"/>
              <w:right w:val="single" w:sz="12" w:space="0" w:color="auto"/>
            </w:tcBorders>
            <w:shd w:val="clear" w:color="000000" w:fill="C6E0B4"/>
            <w:vAlign w:val="center"/>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100%</w:t>
            </w:r>
          </w:p>
        </w:tc>
        <w:tc>
          <w:tcPr>
            <w:tcW w:w="295" w:type="dxa"/>
            <w:tcBorders>
              <w:top w:val="nil"/>
              <w:left w:val="single" w:sz="12" w:space="0" w:color="auto"/>
              <w:bottom w:val="nil"/>
              <w:right w:val="single" w:sz="12" w:space="0" w:color="C45911" w:themeColor="accent2" w:themeShade="BF"/>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182" w:type="dxa"/>
            <w:tcBorders>
              <w:top w:val="nil"/>
              <w:left w:val="single" w:sz="12" w:space="0" w:color="C45911" w:themeColor="accent2" w:themeShade="BF"/>
              <w:bottom w:val="nil"/>
              <w:right w:val="single" w:sz="12" w:space="0" w:color="C45911" w:themeColor="accent2" w:themeShade="BF"/>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nil"/>
              <w:left w:val="single" w:sz="12" w:space="0" w:color="C45911" w:themeColor="accent2" w:themeShade="BF"/>
              <w:bottom w:val="nil"/>
              <w:right w:val="single" w:sz="12" w:space="0" w:color="70AD47" w:themeColor="accent6"/>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88" w:type="dxa"/>
            <w:tcBorders>
              <w:top w:val="nil"/>
              <w:left w:val="single" w:sz="12" w:space="0" w:color="70AD47" w:themeColor="accent6"/>
              <w:bottom w:val="nil"/>
              <w:right w:val="single" w:sz="12" w:space="0" w:color="70AD47" w:themeColor="accent6"/>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r>
      <w:tr w:rsidR="006E0B1B" w:rsidRPr="00CA0BE9" w:rsidTr="006A61B8">
        <w:trPr>
          <w:trHeight w:val="197"/>
        </w:trPr>
        <w:tc>
          <w:tcPr>
            <w:tcW w:w="5273" w:type="dxa"/>
            <w:tcBorders>
              <w:top w:val="single" w:sz="12" w:space="0" w:color="auto"/>
              <w:left w:val="nil"/>
              <w:bottom w:val="single" w:sz="12" w:space="0" w:color="C45911" w:themeColor="accent2" w:themeShade="BF"/>
              <w:right w:val="nil"/>
            </w:tcBorders>
            <w:shd w:val="clear" w:color="auto" w:fill="auto"/>
            <w:vAlign w:val="center"/>
            <w:hideMark/>
          </w:tcPr>
          <w:p w:rsidR="006E0B1B" w:rsidRPr="00CA0BE9" w:rsidRDefault="006E0B1B" w:rsidP="00816B90">
            <w:pPr>
              <w:spacing w:after="0" w:line="240" w:lineRule="auto"/>
              <w:rPr>
                <w:rFonts w:ascii="Calibri" w:eastAsia="Times New Roman" w:hAnsi="Calibri" w:cs="Arial"/>
                <w:b/>
                <w:bCs/>
                <w:color w:val="000000"/>
              </w:rPr>
            </w:pPr>
            <w:r w:rsidRPr="00CA0BE9">
              <w:rPr>
                <w:rFonts w:ascii="Calibri" w:eastAsia="Times New Roman" w:hAnsi="Calibri" w:cs="Arial"/>
                <w:b/>
                <w:bCs/>
                <w:color w:val="000000"/>
              </w:rPr>
              <w:t> </w:t>
            </w:r>
          </w:p>
        </w:tc>
        <w:tc>
          <w:tcPr>
            <w:tcW w:w="1121" w:type="dxa"/>
            <w:tcBorders>
              <w:top w:val="single" w:sz="12" w:space="0" w:color="auto"/>
              <w:left w:val="nil"/>
              <w:bottom w:val="single" w:sz="12" w:space="0" w:color="C45911" w:themeColor="accent2" w:themeShade="BF"/>
              <w:right w:val="nil"/>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 </w:t>
            </w:r>
          </w:p>
        </w:tc>
        <w:tc>
          <w:tcPr>
            <w:tcW w:w="1251" w:type="dxa"/>
            <w:tcBorders>
              <w:top w:val="single" w:sz="12" w:space="0" w:color="auto"/>
              <w:left w:val="nil"/>
              <w:bottom w:val="single" w:sz="12" w:space="0" w:color="C45911" w:themeColor="accent2" w:themeShade="BF"/>
              <w:right w:val="nil"/>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 </w:t>
            </w:r>
          </w:p>
        </w:tc>
        <w:tc>
          <w:tcPr>
            <w:tcW w:w="295" w:type="dxa"/>
            <w:tcBorders>
              <w:top w:val="nil"/>
              <w:left w:val="nil"/>
              <w:bottom w:val="single" w:sz="12" w:space="0" w:color="C45911" w:themeColor="accent2" w:themeShade="BF"/>
              <w:right w:val="single" w:sz="12" w:space="0" w:color="C45911" w:themeColor="accent2" w:themeShade="BF"/>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182" w:type="dxa"/>
            <w:tcBorders>
              <w:top w:val="nil"/>
              <w:left w:val="single" w:sz="12" w:space="0" w:color="C45911" w:themeColor="accent2" w:themeShade="BF"/>
              <w:bottom w:val="nil"/>
              <w:right w:val="single" w:sz="12" w:space="0" w:color="C45911" w:themeColor="accent2" w:themeShade="BF"/>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nil"/>
              <w:left w:val="single" w:sz="12" w:space="0" w:color="C45911" w:themeColor="accent2" w:themeShade="BF"/>
              <w:bottom w:val="nil"/>
              <w:right w:val="single" w:sz="12" w:space="0" w:color="70AD47" w:themeColor="accent6"/>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88" w:type="dxa"/>
            <w:tcBorders>
              <w:top w:val="nil"/>
              <w:left w:val="single" w:sz="12" w:space="0" w:color="70AD47" w:themeColor="accent6"/>
              <w:bottom w:val="nil"/>
              <w:right w:val="single" w:sz="12" w:space="0" w:color="70AD47" w:themeColor="accent6"/>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r>
      <w:tr w:rsidR="006E0B1B" w:rsidRPr="00CA0BE9" w:rsidTr="006A61B8">
        <w:trPr>
          <w:trHeight w:val="432"/>
        </w:trPr>
        <w:tc>
          <w:tcPr>
            <w:tcW w:w="5273" w:type="dxa"/>
            <w:tcBorders>
              <w:top w:val="single" w:sz="12" w:space="0" w:color="C45911" w:themeColor="accent2" w:themeShade="BF"/>
              <w:left w:val="single" w:sz="12" w:space="0" w:color="C45911" w:themeColor="accent2" w:themeShade="BF"/>
              <w:bottom w:val="single" w:sz="4" w:space="0" w:color="auto"/>
              <w:right w:val="single" w:sz="4" w:space="0" w:color="auto"/>
            </w:tcBorders>
            <w:shd w:val="clear" w:color="auto" w:fill="auto"/>
            <w:vAlign w:val="center"/>
            <w:hideMark/>
          </w:tcPr>
          <w:p w:rsidR="006E0B1B" w:rsidRPr="00CA0BE9" w:rsidRDefault="006E0B1B" w:rsidP="00816B90">
            <w:pPr>
              <w:spacing w:after="0" w:line="240" w:lineRule="auto"/>
              <w:rPr>
                <w:rFonts w:ascii="Calibri" w:eastAsia="Times New Roman" w:hAnsi="Calibri" w:cs="Arial"/>
                <w:color w:val="000000"/>
              </w:rPr>
            </w:pPr>
            <w:r w:rsidRPr="00CA0BE9">
              <w:rPr>
                <w:rFonts w:ascii="Calibri" w:eastAsia="Times New Roman" w:hAnsi="Calibri" w:cs="Arial"/>
                <w:color w:val="000000"/>
              </w:rPr>
              <w:t xml:space="preserve">Dr. X </w:t>
            </w:r>
            <w:r>
              <w:rPr>
                <w:rFonts w:ascii="Calibri" w:eastAsia="Times New Roman" w:hAnsi="Calibri" w:cs="Arial"/>
                <w:color w:val="000000"/>
              </w:rPr>
              <w:t>takes on additional duty as</w:t>
            </w:r>
            <w:r w:rsidRPr="00CA0BE9">
              <w:rPr>
                <w:rFonts w:ascii="Calibri" w:eastAsia="Times New Roman" w:hAnsi="Calibri" w:cs="Arial"/>
                <w:color w:val="000000"/>
              </w:rPr>
              <w:t xml:space="preserve"> </w:t>
            </w:r>
            <w:r w:rsidRPr="00CA0BE9">
              <w:rPr>
                <w:rFonts w:ascii="Calibri" w:eastAsia="Times New Roman" w:hAnsi="Calibri" w:cs="Arial"/>
                <w:b/>
                <w:color w:val="000000"/>
              </w:rPr>
              <w:t>Dept. Chair</w:t>
            </w:r>
            <w:r w:rsidRPr="00CA0BE9">
              <w:rPr>
                <w:rFonts w:ascii="Calibri" w:eastAsia="Times New Roman" w:hAnsi="Calibri" w:cs="Arial"/>
                <w:color w:val="000000"/>
              </w:rPr>
              <w:t xml:space="preserve"> and receives </w:t>
            </w:r>
            <w:r>
              <w:rPr>
                <w:rFonts w:ascii="Calibri" w:eastAsia="Times New Roman" w:hAnsi="Calibri" w:cs="Arial"/>
                <w:color w:val="000000"/>
              </w:rPr>
              <w:t>$20,000 over 9-</w:t>
            </w:r>
            <w:r w:rsidRPr="00CA0BE9">
              <w:rPr>
                <w:rFonts w:ascii="Calibri" w:eastAsia="Times New Roman" w:hAnsi="Calibri" w:cs="Arial"/>
                <w:color w:val="000000"/>
              </w:rPr>
              <w:t xml:space="preserve">month appointment </w:t>
            </w:r>
          </w:p>
        </w:tc>
        <w:tc>
          <w:tcPr>
            <w:tcW w:w="1121" w:type="dxa"/>
            <w:tcBorders>
              <w:top w:val="single" w:sz="12" w:space="0" w:color="C45911" w:themeColor="accent2" w:themeShade="BF"/>
              <w:left w:val="nil"/>
              <w:bottom w:val="single" w:sz="4" w:space="0" w:color="auto"/>
              <w:right w:val="single" w:sz="4" w:space="0" w:color="auto"/>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xml:space="preserve">$20,000 </w:t>
            </w:r>
          </w:p>
        </w:tc>
        <w:tc>
          <w:tcPr>
            <w:tcW w:w="1251" w:type="dxa"/>
            <w:tcBorders>
              <w:top w:val="single" w:sz="12" w:space="0" w:color="C45911" w:themeColor="accent2" w:themeShade="BF"/>
              <w:left w:val="nil"/>
              <w:bottom w:val="single" w:sz="4" w:space="0" w:color="auto"/>
              <w:right w:val="nil"/>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single" w:sz="12" w:space="0" w:color="C45911" w:themeColor="accent2" w:themeShade="BF"/>
              <w:left w:val="nil"/>
              <w:bottom w:val="single" w:sz="4" w:space="0" w:color="auto"/>
              <w:right w:val="nil"/>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182" w:type="dxa"/>
            <w:tcBorders>
              <w:top w:val="nil"/>
              <w:left w:val="nil"/>
              <w:bottom w:val="single" w:sz="4" w:space="0" w:color="auto"/>
              <w:right w:val="single" w:sz="12" w:space="0" w:color="C45911" w:themeColor="accent2" w:themeShade="BF"/>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20%</w:t>
            </w:r>
          </w:p>
        </w:tc>
        <w:tc>
          <w:tcPr>
            <w:tcW w:w="295" w:type="dxa"/>
            <w:tcBorders>
              <w:top w:val="nil"/>
              <w:left w:val="single" w:sz="12" w:space="0" w:color="C45911" w:themeColor="accent2" w:themeShade="BF"/>
              <w:bottom w:val="nil"/>
              <w:right w:val="single" w:sz="12" w:space="0" w:color="70AD47" w:themeColor="accent6"/>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88" w:type="dxa"/>
            <w:tcBorders>
              <w:top w:val="nil"/>
              <w:left w:val="single" w:sz="12" w:space="0" w:color="70AD47" w:themeColor="accent6"/>
              <w:bottom w:val="nil"/>
              <w:right w:val="single" w:sz="12" w:space="0" w:color="70AD47" w:themeColor="accent6"/>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16%</w:t>
            </w:r>
          </w:p>
        </w:tc>
      </w:tr>
      <w:tr w:rsidR="006E0B1B" w:rsidRPr="00CA0BE9" w:rsidTr="006A61B8">
        <w:trPr>
          <w:trHeight w:val="184"/>
        </w:trPr>
        <w:tc>
          <w:tcPr>
            <w:tcW w:w="5273" w:type="dxa"/>
            <w:tcBorders>
              <w:top w:val="nil"/>
              <w:left w:val="single" w:sz="12" w:space="0" w:color="C45911" w:themeColor="accent2" w:themeShade="BF"/>
              <w:bottom w:val="single" w:sz="4" w:space="0" w:color="auto"/>
              <w:right w:val="single" w:sz="4" w:space="0" w:color="auto"/>
            </w:tcBorders>
            <w:shd w:val="clear" w:color="000000" w:fill="FFF2CC"/>
            <w:vAlign w:val="center"/>
            <w:hideMark/>
          </w:tcPr>
          <w:p w:rsidR="006E0B1B" w:rsidRPr="00CA0BE9" w:rsidRDefault="006E0B1B" w:rsidP="00816B90">
            <w:pPr>
              <w:spacing w:after="0" w:line="240" w:lineRule="auto"/>
              <w:rPr>
                <w:rFonts w:ascii="Calibri" w:eastAsia="Times New Roman" w:hAnsi="Calibri" w:cs="Arial"/>
                <w:b/>
                <w:bCs/>
                <w:color w:val="000000"/>
              </w:rPr>
            </w:pPr>
            <w:r>
              <w:rPr>
                <w:rFonts w:ascii="Calibri" w:eastAsia="Times New Roman" w:hAnsi="Calibri" w:cs="Arial"/>
                <w:b/>
                <w:bCs/>
                <w:color w:val="000000"/>
              </w:rPr>
              <w:t>I</w:t>
            </w:r>
            <w:r w:rsidRPr="00CA0BE9">
              <w:rPr>
                <w:rFonts w:ascii="Calibri" w:eastAsia="Times New Roman" w:hAnsi="Calibri" w:cs="Arial"/>
                <w:b/>
                <w:bCs/>
                <w:color w:val="000000"/>
              </w:rPr>
              <w:t>ncrease</w:t>
            </w:r>
            <w:r>
              <w:rPr>
                <w:rFonts w:ascii="Calibri" w:eastAsia="Times New Roman" w:hAnsi="Calibri" w:cs="Arial"/>
                <w:b/>
                <w:bCs/>
                <w:color w:val="000000"/>
              </w:rPr>
              <w:t>d IBS</w:t>
            </w:r>
          </w:p>
        </w:tc>
        <w:tc>
          <w:tcPr>
            <w:tcW w:w="1121" w:type="dxa"/>
            <w:tcBorders>
              <w:top w:val="nil"/>
              <w:left w:val="nil"/>
              <w:bottom w:val="single" w:sz="4" w:space="0" w:color="auto"/>
              <w:right w:val="single" w:sz="4" w:space="0" w:color="auto"/>
            </w:tcBorders>
            <w:shd w:val="clear" w:color="000000" w:fill="FFF2CC"/>
            <w:vAlign w:val="center"/>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 xml:space="preserve">$110,000 </w:t>
            </w:r>
          </w:p>
        </w:tc>
        <w:tc>
          <w:tcPr>
            <w:tcW w:w="1251" w:type="dxa"/>
            <w:tcBorders>
              <w:top w:val="nil"/>
              <w:left w:val="nil"/>
              <w:bottom w:val="single" w:sz="4" w:space="0" w:color="auto"/>
              <w:right w:val="nil"/>
            </w:tcBorders>
            <w:shd w:val="clear" w:color="000000" w:fill="FFF2CC"/>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nil"/>
              <w:left w:val="nil"/>
              <w:bottom w:val="single" w:sz="4" w:space="0" w:color="auto"/>
              <w:right w:val="nil"/>
            </w:tcBorders>
            <w:shd w:val="clear" w:color="000000" w:fill="FFF2CC"/>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182" w:type="dxa"/>
            <w:tcBorders>
              <w:top w:val="nil"/>
              <w:left w:val="nil"/>
              <w:bottom w:val="single" w:sz="4" w:space="0" w:color="auto"/>
              <w:right w:val="single" w:sz="12" w:space="0" w:color="C45911" w:themeColor="accent2" w:themeShade="BF"/>
            </w:tcBorders>
            <w:shd w:val="clear" w:color="000000" w:fill="FFF2CC"/>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nil"/>
              <w:left w:val="single" w:sz="12" w:space="0" w:color="C45911" w:themeColor="accent2" w:themeShade="BF"/>
              <w:bottom w:val="nil"/>
              <w:right w:val="single" w:sz="12" w:space="0" w:color="70AD47" w:themeColor="accent6"/>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88" w:type="dxa"/>
            <w:tcBorders>
              <w:top w:val="single" w:sz="4" w:space="0" w:color="auto"/>
              <w:left w:val="single" w:sz="12" w:space="0" w:color="70AD47" w:themeColor="accent6"/>
              <w:bottom w:val="single" w:sz="4" w:space="0" w:color="auto"/>
              <w:right w:val="single" w:sz="12" w:space="0" w:color="70AD47" w:themeColor="accent6"/>
            </w:tcBorders>
            <w:shd w:val="clear" w:color="auto" w:fill="auto"/>
            <w:noWrap/>
            <w:vAlign w:val="center"/>
            <w:hideMark/>
          </w:tcPr>
          <w:p w:rsidR="006E0B1B" w:rsidRPr="00CA0BE9" w:rsidRDefault="006E0B1B" w:rsidP="00816B90">
            <w:pPr>
              <w:spacing w:after="0" w:line="240" w:lineRule="auto"/>
              <w:rPr>
                <w:rFonts w:ascii="Arial" w:eastAsia="Times New Roman" w:hAnsi="Arial" w:cs="Arial"/>
                <w:color w:val="000000"/>
              </w:rPr>
            </w:pPr>
            <w:r w:rsidRPr="00CA0BE9">
              <w:rPr>
                <w:rFonts w:ascii="Arial" w:eastAsia="Times New Roman" w:hAnsi="Arial" w:cs="Arial"/>
                <w:color w:val="000000"/>
              </w:rPr>
              <w:t> </w:t>
            </w:r>
          </w:p>
        </w:tc>
      </w:tr>
      <w:tr w:rsidR="006E0B1B" w:rsidRPr="00CA0BE9" w:rsidTr="006A61B8">
        <w:trPr>
          <w:trHeight w:val="192"/>
        </w:trPr>
        <w:tc>
          <w:tcPr>
            <w:tcW w:w="5273" w:type="dxa"/>
            <w:tcBorders>
              <w:top w:val="nil"/>
              <w:left w:val="single" w:sz="12" w:space="0" w:color="C45911" w:themeColor="accent2" w:themeShade="BF"/>
              <w:bottom w:val="single" w:sz="12" w:space="0" w:color="C45911" w:themeColor="accent2" w:themeShade="BF"/>
              <w:right w:val="single" w:sz="4" w:space="0" w:color="auto"/>
            </w:tcBorders>
            <w:shd w:val="clear" w:color="000000" w:fill="C6E0B4"/>
            <w:vAlign w:val="center"/>
            <w:hideMark/>
          </w:tcPr>
          <w:p w:rsidR="006E0B1B" w:rsidRPr="00CA0BE9" w:rsidRDefault="006E0B1B" w:rsidP="00816B90">
            <w:pPr>
              <w:spacing w:after="0" w:line="240" w:lineRule="auto"/>
              <w:rPr>
                <w:rFonts w:ascii="Calibri" w:eastAsia="Times New Roman" w:hAnsi="Calibri" w:cs="Arial"/>
                <w:b/>
                <w:bCs/>
                <w:color w:val="000000"/>
              </w:rPr>
            </w:pPr>
            <w:r w:rsidRPr="00CA0BE9">
              <w:rPr>
                <w:rFonts w:ascii="Calibri" w:eastAsia="Times New Roman" w:hAnsi="Calibri" w:cs="Arial"/>
                <w:b/>
                <w:bCs/>
                <w:color w:val="000000"/>
              </w:rPr>
              <w:t xml:space="preserve">Total Effort </w:t>
            </w:r>
          </w:p>
        </w:tc>
        <w:tc>
          <w:tcPr>
            <w:tcW w:w="1121" w:type="dxa"/>
            <w:tcBorders>
              <w:top w:val="nil"/>
              <w:left w:val="nil"/>
              <w:bottom w:val="single" w:sz="12" w:space="0" w:color="C45911" w:themeColor="accent2" w:themeShade="BF"/>
              <w:right w:val="single" w:sz="4" w:space="0" w:color="auto"/>
            </w:tcBorders>
            <w:shd w:val="clear" w:color="000000" w:fill="C6E0B4"/>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51" w:type="dxa"/>
            <w:tcBorders>
              <w:top w:val="nil"/>
              <w:left w:val="nil"/>
              <w:bottom w:val="single" w:sz="12" w:space="0" w:color="C45911" w:themeColor="accent2" w:themeShade="BF"/>
              <w:right w:val="nil"/>
            </w:tcBorders>
            <w:shd w:val="clear" w:color="000000" w:fill="C6E0B4"/>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nil"/>
              <w:left w:val="nil"/>
              <w:bottom w:val="single" w:sz="12" w:space="0" w:color="C45911" w:themeColor="accent2" w:themeShade="BF"/>
              <w:right w:val="nil"/>
            </w:tcBorders>
            <w:shd w:val="clear" w:color="000000" w:fill="C6E0B4"/>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182" w:type="dxa"/>
            <w:tcBorders>
              <w:top w:val="nil"/>
              <w:left w:val="nil"/>
              <w:bottom w:val="single" w:sz="12" w:space="0" w:color="C45911" w:themeColor="accent2" w:themeShade="BF"/>
              <w:right w:val="single" w:sz="12" w:space="0" w:color="C45911" w:themeColor="accent2" w:themeShade="BF"/>
            </w:tcBorders>
            <w:shd w:val="clear" w:color="000000" w:fill="C6E0B4"/>
            <w:vAlign w:val="center"/>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100%</w:t>
            </w:r>
          </w:p>
        </w:tc>
        <w:tc>
          <w:tcPr>
            <w:tcW w:w="295" w:type="dxa"/>
            <w:tcBorders>
              <w:top w:val="nil"/>
              <w:left w:val="single" w:sz="12" w:space="0" w:color="C45911" w:themeColor="accent2" w:themeShade="BF"/>
              <w:bottom w:val="nil"/>
              <w:right w:val="single" w:sz="12" w:space="0" w:color="70AD47" w:themeColor="accent6"/>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88" w:type="dxa"/>
            <w:tcBorders>
              <w:top w:val="nil"/>
              <w:left w:val="single" w:sz="12" w:space="0" w:color="70AD47" w:themeColor="accent6"/>
              <w:bottom w:val="nil"/>
              <w:right w:val="single" w:sz="12" w:space="0" w:color="70AD47" w:themeColor="accent6"/>
            </w:tcBorders>
            <w:shd w:val="clear" w:color="auto" w:fill="auto"/>
            <w:noWrap/>
            <w:vAlign w:val="center"/>
            <w:hideMark/>
          </w:tcPr>
          <w:p w:rsidR="006E0B1B" w:rsidRPr="00CA0BE9" w:rsidRDefault="006E0B1B" w:rsidP="00816B90">
            <w:pPr>
              <w:spacing w:after="0" w:line="240" w:lineRule="auto"/>
              <w:rPr>
                <w:rFonts w:ascii="Arial" w:eastAsia="Times New Roman" w:hAnsi="Arial" w:cs="Arial"/>
                <w:color w:val="000000"/>
              </w:rPr>
            </w:pPr>
            <w:r w:rsidRPr="00CA0BE9">
              <w:rPr>
                <w:rFonts w:ascii="Arial" w:eastAsia="Times New Roman" w:hAnsi="Arial" w:cs="Arial"/>
                <w:color w:val="000000"/>
              </w:rPr>
              <w:t> </w:t>
            </w:r>
          </w:p>
        </w:tc>
      </w:tr>
      <w:tr w:rsidR="006E0B1B" w:rsidRPr="00CA0BE9" w:rsidTr="006A61B8">
        <w:trPr>
          <w:trHeight w:val="87"/>
        </w:trPr>
        <w:tc>
          <w:tcPr>
            <w:tcW w:w="5273" w:type="dxa"/>
            <w:tcBorders>
              <w:top w:val="single" w:sz="12" w:space="0" w:color="C45911" w:themeColor="accent2" w:themeShade="BF"/>
              <w:left w:val="nil"/>
              <w:bottom w:val="single" w:sz="12" w:space="0" w:color="70AD47" w:themeColor="accent6"/>
              <w:right w:val="nil"/>
            </w:tcBorders>
            <w:shd w:val="clear" w:color="auto" w:fill="auto"/>
            <w:noWrap/>
            <w:vAlign w:val="center"/>
            <w:hideMark/>
          </w:tcPr>
          <w:p w:rsidR="006E0B1B" w:rsidRPr="00CA0BE9" w:rsidRDefault="006E0B1B" w:rsidP="00816B90">
            <w:pPr>
              <w:spacing w:after="0" w:line="240" w:lineRule="auto"/>
              <w:rPr>
                <w:rFonts w:ascii="Calibri" w:eastAsia="Times New Roman" w:hAnsi="Calibri" w:cs="Arial"/>
                <w:color w:val="000000"/>
              </w:rPr>
            </w:pPr>
            <w:r w:rsidRPr="00CA0BE9">
              <w:rPr>
                <w:rFonts w:ascii="Calibri" w:eastAsia="Times New Roman" w:hAnsi="Calibri" w:cs="Arial"/>
                <w:color w:val="000000"/>
              </w:rPr>
              <w:t> </w:t>
            </w:r>
          </w:p>
        </w:tc>
        <w:tc>
          <w:tcPr>
            <w:tcW w:w="1121" w:type="dxa"/>
            <w:tcBorders>
              <w:top w:val="single" w:sz="12" w:space="0" w:color="C45911" w:themeColor="accent2" w:themeShade="BF"/>
              <w:left w:val="nil"/>
              <w:bottom w:val="single" w:sz="12" w:space="0" w:color="70AD47" w:themeColor="accent6"/>
              <w:right w:val="nil"/>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51" w:type="dxa"/>
            <w:tcBorders>
              <w:top w:val="single" w:sz="12" w:space="0" w:color="C45911" w:themeColor="accent2" w:themeShade="BF"/>
              <w:left w:val="nil"/>
              <w:bottom w:val="single" w:sz="12" w:space="0" w:color="70AD47" w:themeColor="accent6"/>
              <w:right w:val="nil"/>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single" w:sz="12" w:space="0" w:color="C45911" w:themeColor="accent2" w:themeShade="BF"/>
              <w:left w:val="nil"/>
              <w:bottom w:val="single" w:sz="12" w:space="0" w:color="70AD47" w:themeColor="accent6"/>
              <w:right w:val="nil"/>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182" w:type="dxa"/>
            <w:tcBorders>
              <w:top w:val="single" w:sz="12" w:space="0" w:color="C45911" w:themeColor="accent2" w:themeShade="BF"/>
              <w:left w:val="nil"/>
              <w:bottom w:val="single" w:sz="12" w:space="0" w:color="70AD47" w:themeColor="accent6"/>
              <w:right w:val="nil"/>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nil"/>
              <w:left w:val="nil"/>
              <w:bottom w:val="single" w:sz="12" w:space="0" w:color="70AD47" w:themeColor="accent6"/>
              <w:right w:val="single" w:sz="12" w:space="0" w:color="70AD47" w:themeColor="accent6"/>
            </w:tcBorders>
            <w:shd w:val="clear" w:color="auto" w:fill="auto"/>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88" w:type="dxa"/>
            <w:tcBorders>
              <w:top w:val="nil"/>
              <w:left w:val="single" w:sz="12" w:space="0" w:color="70AD47" w:themeColor="accent6"/>
              <w:bottom w:val="nil"/>
              <w:right w:val="single" w:sz="12" w:space="0" w:color="70AD47" w:themeColor="accent6"/>
            </w:tcBorders>
            <w:shd w:val="clear" w:color="auto" w:fill="auto"/>
            <w:noWrap/>
            <w:vAlign w:val="center"/>
            <w:hideMark/>
          </w:tcPr>
          <w:p w:rsidR="006E0B1B" w:rsidRPr="00CA0BE9" w:rsidRDefault="006E0B1B" w:rsidP="00816B90">
            <w:pPr>
              <w:spacing w:after="0" w:line="240" w:lineRule="auto"/>
              <w:rPr>
                <w:rFonts w:ascii="Arial" w:eastAsia="Times New Roman" w:hAnsi="Arial" w:cs="Arial"/>
                <w:color w:val="000000"/>
              </w:rPr>
            </w:pPr>
            <w:r w:rsidRPr="00CA0BE9">
              <w:rPr>
                <w:rFonts w:ascii="Arial" w:eastAsia="Times New Roman" w:hAnsi="Arial" w:cs="Arial"/>
                <w:color w:val="000000"/>
              </w:rPr>
              <w:t> </w:t>
            </w:r>
          </w:p>
        </w:tc>
      </w:tr>
      <w:tr w:rsidR="006E0B1B" w:rsidRPr="00CA0BE9" w:rsidTr="006A61B8">
        <w:trPr>
          <w:trHeight w:val="442"/>
        </w:trPr>
        <w:tc>
          <w:tcPr>
            <w:tcW w:w="5273" w:type="dxa"/>
            <w:tcBorders>
              <w:top w:val="single" w:sz="12" w:space="0" w:color="70AD47" w:themeColor="accent6"/>
              <w:left w:val="single" w:sz="12" w:space="0" w:color="70AD47" w:themeColor="accent6"/>
              <w:bottom w:val="nil"/>
              <w:right w:val="single" w:sz="4" w:space="0" w:color="auto"/>
            </w:tcBorders>
            <w:shd w:val="clear" w:color="auto" w:fill="auto"/>
            <w:vAlign w:val="center"/>
            <w:hideMark/>
          </w:tcPr>
          <w:p w:rsidR="006E0B1B" w:rsidRPr="00CA0BE9" w:rsidRDefault="006E0B1B" w:rsidP="00816B90">
            <w:pPr>
              <w:spacing w:after="0" w:line="240" w:lineRule="auto"/>
              <w:rPr>
                <w:rFonts w:ascii="Calibri" w:eastAsia="Times New Roman" w:hAnsi="Calibri" w:cs="Arial"/>
                <w:color w:val="000000"/>
              </w:rPr>
            </w:pPr>
            <w:r w:rsidRPr="00CA0BE9">
              <w:rPr>
                <w:rFonts w:ascii="Calibri" w:eastAsia="Times New Roman" w:hAnsi="Calibri" w:cs="Arial"/>
                <w:color w:val="000000"/>
              </w:rPr>
              <w:t xml:space="preserve">Dr. X will </w:t>
            </w:r>
            <w:r w:rsidRPr="00CA0BE9">
              <w:rPr>
                <w:rFonts w:ascii="Calibri" w:eastAsia="Times New Roman" w:hAnsi="Calibri" w:cs="Arial"/>
                <w:b/>
                <w:color w:val="000000"/>
              </w:rPr>
              <w:t>teach</w:t>
            </w:r>
            <w:r w:rsidRPr="00CA0BE9">
              <w:rPr>
                <w:rFonts w:ascii="Calibri" w:eastAsia="Times New Roman" w:hAnsi="Calibri" w:cs="Arial"/>
                <w:color w:val="000000"/>
              </w:rPr>
              <w:t xml:space="preserve"> an additional class for the Fall,  and receives $10,000 </w:t>
            </w:r>
          </w:p>
        </w:tc>
        <w:tc>
          <w:tcPr>
            <w:tcW w:w="1121" w:type="dxa"/>
            <w:tcBorders>
              <w:top w:val="single" w:sz="12" w:space="0" w:color="70AD47" w:themeColor="accent6"/>
              <w:left w:val="nil"/>
              <w:bottom w:val="nil"/>
              <w:right w:val="single" w:sz="4" w:space="0" w:color="auto"/>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xml:space="preserve">$10,000 </w:t>
            </w:r>
          </w:p>
        </w:tc>
        <w:tc>
          <w:tcPr>
            <w:tcW w:w="1251" w:type="dxa"/>
            <w:tcBorders>
              <w:top w:val="single" w:sz="12" w:space="0" w:color="70AD47" w:themeColor="accent6"/>
              <w:left w:val="nil"/>
              <w:bottom w:val="nil"/>
              <w:right w:val="nil"/>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p>
        </w:tc>
        <w:tc>
          <w:tcPr>
            <w:tcW w:w="295" w:type="dxa"/>
            <w:tcBorders>
              <w:top w:val="single" w:sz="12" w:space="0" w:color="70AD47" w:themeColor="accent6"/>
              <w:left w:val="nil"/>
              <w:bottom w:val="nil"/>
              <w:right w:val="nil"/>
            </w:tcBorders>
            <w:shd w:val="clear" w:color="auto" w:fill="auto"/>
            <w:vAlign w:val="center"/>
            <w:hideMark/>
          </w:tcPr>
          <w:p w:rsidR="006E0B1B" w:rsidRPr="00CA0BE9" w:rsidRDefault="006E0B1B" w:rsidP="00816B90">
            <w:pPr>
              <w:spacing w:after="0" w:line="240" w:lineRule="auto"/>
              <w:jc w:val="center"/>
              <w:rPr>
                <w:rFonts w:ascii="Times New Roman" w:eastAsia="Times New Roman" w:hAnsi="Times New Roman" w:cs="Times New Roman"/>
                <w:sz w:val="20"/>
                <w:szCs w:val="20"/>
              </w:rPr>
            </w:pPr>
          </w:p>
        </w:tc>
        <w:tc>
          <w:tcPr>
            <w:tcW w:w="1182" w:type="dxa"/>
            <w:tcBorders>
              <w:top w:val="single" w:sz="12" w:space="0" w:color="70AD47" w:themeColor="accent6"/>
              <w:left w:val="nil"/>
              <w:bottom w:val="nil"/>
              <w:right w:val="nil"/>
            </w:tcBorders>
            <w:shd w:val="clear" w:color="auto" w:fill="auto"/>
            <w:vAlign w:val="center"/>
            <w:hideMark/>
          </w:tcPr>
          <w:p w:rsidR="006E0B1B" w:rsidRPr="00CA0BE9" w:rsidRDefault="006E0B1B" w:rsidP="00816B90">
            <w:pPr>
              <w:spacing w:after="0" w:line="240" w:lineRule="auto"/>
              <w:jc w:val="center"/>
              <w:rPr>
                <w:rFonts w:ascii="Times New Roman" w:eastAsia="Times New Roman" w:hAnsi="Times New Roman" w:cs="Times New Roman"/>
                <w:sz w:val="20"/>
                <w:szCs w:val="20"/>
              </w:rPr>
            </w:pPr>
          </w:p>
        </w:tc>
        <w:tc>
          <w:tcPr>
            <w:tcW w:w="295" w:type="dxa"/>
            <w:tcBorders>
              <w:top w:val="single" w:sz="12" w:space="0" w:color="70AD47" w:themeColor="accent6"/>
              <w:left w:val="nil"/>
              <w:bottom w:val="nil"/>
              <w:right w:val="nil"/>
            </w:tcBorders>
            <w:shd w:val="clear" w:color="auto" w:fill="auto"/>
            <w:noWrap/>
            <w:vAlign w:val="center"/>
            <w:hideMark/>
          </w:tcPr>
          <w:p w:rsidR="006E0B1B" w:rsidRPr="00CA0BE9" w:rsidRDefault="006E0B1B" w:rsidP="00816B90">
            <w:pPr>
              <w:spacing w:after="0" w:line="240" w:lineRule="auto"/>
              <w:jc w:val="center"/>
              <w:rPr>
                <w:rFonts w:ascii="Times New Roman" w:eastAsia="Times New Roman" w:hAnsi="Times New Roman" w:cs="Times New Roman"/>
                <w:sz w:val="20"/>
                <w:szCs w:val="20"/>
              </w:rPr>
            </w:pPr>
          </w:p>
        </w:tc>
        <w:tc>
          <w:tcPr>
            <w:tcW w:w="1288" w:type="dxa"/>
            <w:tcBorders>
              <w:top w:val="nil"/>
              <w:left w:val="nil"/>
              <w:bottom w:val="single" w:sz="4" w:space="0" w:color="auto"/>
              <w:right w:val="single" w:sz="12" w:space="0" w:color="70AD47" w:themeColor="accent6"/>
            </w:tcBorders>
            <w:shd w:val="clear" w:color="auto" w:fill="auto"/>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8%</w:t>
            </w:r>
          </w:p>
        </w:tc>
      </w:tr>
      <w:tr w:rsidR="006E0B1B" w:rsidRPr="00CA0BE9" w:rsidTr="006A61B8">
        <w:trPr>
          <w:trHeight w:val="184"/>
        </w:trPr>
        <w:tc>
          <w:tcPr>
            <w:tcW w:w="5273" w:type="dxa"/>
            <w:tcBorders>
              <w:top w:val="single" w:sz="4" w:space="0" w:color="auto"/>
              <w:left w:val="single" w:sz="12" w:space="0" w:color="70AD47" w:themeColor="accent6"/>
              <w:bottom w:val="single" w:sz="4" w:space="0" w:color="auto"/>
              <w:right w:val="single" w:sz="4" w:space="0" w:color="auto"/>
            </w:tcBorders>
            <w:shd w:val="clear" w:color="000000" w:fill="FFF2CC"/>
            <w:vAlign w:val="center"/>
            <w:hideMark/>
          </w:tcPr>
          <w:p w:rsidR="006E0B1B" w:rsidRPr="00CA0BE9" w:rsidRDefault="006E0B1B" w:rsidP="00816B90">
            <w:pPr>
              <w:spacing w:after="0" w:line="240" w:lineRule="auto"/>
              <w:rPr>
                <w:rFonts w:ascii="Calibri" w:eastAsia="Times New Roman" w:hAnsi="Calibri" w:cs="Arial"/>
                <w:b/>
                <w:bCs/>
                <w:color w:val="000000"/>
              </w:rPr>
            </w:pPr>
            <w:r>
              <w:rPr>
                <w:rFonts w:ascii="Calibri" w:eastAsia="Times New Roman" w:hAnsi="Calibri" w:cs="Arial"/>
                <w:b/>
                <w:bCs/>
                <w:color w:val="000000"/>
              </w:rPr>
              <w:t>Increased IBS</w:t>
            </w:r>
          </w:p>
        </w:tc>
        <w:tc>
          <w:tcPr>
            <w:tcW w:w="1121" w:type="dxa"/>
            <w:tcBorders>
              <w:top w:val="single" w:sz="4" w:space="0" w:color="auto"/>
              <w:left w:val="nil"/>
              <w:bottom w:val="single" w:sz="4" w:space="0" w:color="auto"/>
              <w:right w:val="single" w:sz="4" w:space="0" w:color="auto"/>
            </w:tcBorders>
            <w:shd w:val="clear" w:color="000000" w:fill="FFF2CC"/>
            <w:vAlign w:val="center"/>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 xml:space="preserve">$120,000 </w:t>
            </w:r>
          </w:p>
        </w:tc>
        <w:tc>
          <w:tcPr>
            <w:tcW w:w="1251" w:type="dxa"/>
            <w:tcBorders>
              <w:top w:val="single" w:sz="4" w:space="0" w:color="auto"/>
              <w:left w:val="nil"/>
              <w:bottom w:val="single" w:sz="4" w:space="0" w:color="auto"/>
              <w:right w:val="nil"/>
            </w:tcBorders>
            <w:shd w:val="clear" w:color="000000" w:fill="FFF2CC"/>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single" w:sz="4" w:space="0" w:color="auto"/>
              <w:left w:val="nil"/>
              <w:bottom w:val="single" w:sz="4" w:space="0" w:color="auto"/>
              <w:right w:val="nil"/>
            </w:tcBorders>
            <w:shd w:val="clear" w:color="000000" w:fill="FFF2CC"/>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182" w:type="dxa"/>
            <w:tcBorders>
              <w:top w:val="single" w:sz="4" w:space="0" w:color="auto"/>
              <w:left w:val="nil"/>
              <w:bottom w:val="single" w:sz="4" w:space="0" w:color="auto"/>
              <w:right w:val="nil"/>
            </w:tcBorders>
            <w:shd w:val="clear" w:color="000000" w:fill="FFF2CC"/>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295" w:type="dxa"/>
            <w:tcBorders>
              <w:top w:val="single" w:sz="4" w:space="0" w:color="auto"/>
              <w:left w:val="nil"/>
              <w:bottom w:val="single" w:sz="4" w:space="0" w:color="auto"/>
              <w:right w:val="nil"/>
            </w:tcBorders>
            <w:shd w:val="clear" w:color="000000" w:fill="FFF2CC"/>
            <w:noWrap/>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88" w:type="dxa"/>
            <w:tcBorders>
              <w:top w:val="nil"/>
              <w:left w:val="nil"/>
              <w:bottom w:val="single" w:sz="4" w:space="0" w:color="auto"/>
              <w:right w:val="single" w:sz="12" w:space="0" w:color="70AD47" w:themeColor="accent6"/>
            </w:tcBorders>
            <w:shd w:val="clear" w:color="000000" w:fill="FFF2CC"/>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r>
      <w:tr w:rsidR="006E0B1B" w:rsidRPr="00CA0BE9" w:rsidTr="006A61B8">
        <w:trPr>
          <w:trHeight w:val="192"/>
        </w:trPr>
        <w:tc>
          <w:tcPr>
            <w:tcW w:w="5273" w:type="dxa"/>
            <w:tcBorders>
              <w:top w:val="nil"/>
              <w:left w:val="single" w:sz="12" w:space="0" w:color="70AD47" w:themeColor="accent6"/>
              <w:bottom w:val="single" w:sz="12" w:space="0" w:color="70AD47" w:themeColor="accent6"/>
              <w:right w:val="single" w:sz="4" w:space="0" w:color="auto"/>
            </w:tcBorders>
            <w:shd w:val="clear" w:color="000000" w:fill="C6E0B4"/>
            <w:vAlign w:val="center"/>
            <w:hideMark/>
          </w:tcPr>
          <w:p w:rsidR="006E0B1B" w:rsidRPr="00CA0BE9" w:rsidRDefault="006E0B1B" w:rsidP="00816B90">
            <w:pPr>
              <w:spacing w:after="0" w:line="240" w:lineRule="auto"/>
              <w:rPr>
                <w:rFonts w:ascii="Calibri" w:eastAsia="Times New Roman" w:hAnsi="Calibri" w:cs="Arial"/>
                <w:b/>
                <w:bCs/>
                <w:color w:val="000000"/>
              </w:rPr>
            </w:pPr>
            <w:r w:rsidRPr="00CA0BE9">
              <w:rPr>
                <w:rFonts w:ascii="Calibri" w:eastAsia="Times New Roman" w:hAnsi="Calibri" w:cs="Arial"/>
                <w:b/>
                <w:bCs/>
                <w:color w:val="000000"/>
              </w:rPr>
              <w:t>Total Effort</w:t>
            </w:r>
          </w:p>
        </w:tc>
        <w:tc>
          <w:tcPr>
            <w:tcW w:w="1121" w:type="dxa"/>
            <w:tcBorders>
              <w:top w:val="nil"/>
              <w:left w:val="nil"/>
              <w:bottom w:val="single" w:sz="12" w:space="0" w:color="70AD47" w:themeColor="accent6"/>
              <w:right w:val="single" w:sz="4" w:space="0" w:color="auto"/>
            </w:tcBorders>
            <w:shd w:val="clear" w:color="000000" w:fill="C6E0B4"/>
            <w:vAlign w:val="center"/>
            <w:hideMark/>
          </w:tcPr>
          <w:p w:rsidR="006E0B1B" w:rsidRPr="00CA0BE9" w:rsidRDefault="006E0B1B" w:rsidP="00816B90">
            <w:pPr>
              <w:spacing w:after="0" w:line="240" w:lineRule="auto"/>
              <w:jc w:val="center"/>
              <w:rPr>
                <w:rFonts w:ascii="Calibri" w:eastAsia="Times New Roman" w:hAnsi="Calibri" w:cs="Arial"/>
                <w:color w:val="000000"/>
              </w:rPr>
            </w:pPr>
            <w:r w:rsidRPr="00CA0BE9">
              <w:rPr>
                <w:rFonts w:ascii="Calibri" w:eastAsia="Times New Roman" w:hAnsi="Calibri" w:cs="Arial"/>
                <w:color w:val="000000"/>
              </w:rPr>
              <w:t> </w:t>
            </w:r>
          </w:p>
        </w:tc>
        <w:tc>
          <w:tcPr>
            <w:tcW w:w="1251" w:type="dxa"/>
            <w:tcBorders>
              <w:top w:val="nil"/>
              <w:left w:val="nil"/>
              <w:bottom w:val="single" w:sz="12" w:space="0" w:color="70AD47" w:themeColor="accent6"/>
              <w:right w:val="nil"/>
            </w:tcBorders>
            <w:shd w:val="clear" w:color="000000" w:fill="C6E0B4"/>
            <w:vAlign w:val="center"/>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 </w:t>
            </w:r>
          </w:p>
        </w:tc>
        <w:tc>
          <w:tcPr>
            <w:tcW w:w="295" w:type="dxa"/>
            <w:tcBorders>
              <w:top w:val="nil"/>
              <w:left w:val="nil"/>
              <w:bottom w:val="single" w:sz="12" w:space="0" w:color="70AD47" w:themeColor="accent6"/>
              <w:right w:val="nil"/>
            </w:tcBorders>
            <w:shd w:val="clear" w:color="000000" w:fill="C6E0B4"/>
            <w:noWrap/>
            <w:vAlign w:val="center"/>
            <w:hideMark/>
          </w:tcPr>
          <w:p w:rsidR="006E0B1B" w:rsidRPr="00CA0BE9" w:rsidRDefault="006E0B1B" w:rsidP="00816B90">
            <w:pPr>
              <w:spacing w:after="0" w:line="240" w:lineRule="auto"/>
              <w:jc w:val="center"/>
              <w:rPr>
                <w:rFonts w:ascii="Arial" w:eastAsia="Times New Roman" w:hAnsi="Arial" w:cs="Arial"/>
                <w:color w:val="000000"/>
              </w:rPr>
            </w:pPr>
            <w:r w:rsidRPr="00CA0BE9">
              <w:rPr>
                <w:rFonts w:ascii="Arial" w:eastAsia="Times New Roman" w:hAnsi="Arial" w:cs="Arial"/>
                <w:color w:val="000000"/>
              </w:rPr>
              <w:t> </w:t>
            </w:r>
          </w:p>
        </w:tc>
        <w:tc>
          <w:tcPr>
            <w:tcW w:w="1182" w:type="dxa"/>
            <w:tcBorders>
              <w:top w:val="nil"/>
              <w:left w:val="nil"/>
              <w:bottom w:val="single" w:sz="12" w:space="0" w:color="70AD47" w:themeColor="accent6"/>
              <w:right w:val="nil"/>
            </w:tcBorders>
            <w:shd w:val="clear" w:color="000000" w:fill="C6E0B4"/>
            <w:vAlign w:val="center"/>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 </w:t>
            </w:r>
          </w:p>
        </w:tc>
        <w:tc>
          <w:tcPr>
            <w:tcW w:w="295" w:type="dxa"/>
            <w:tcBorders>
              <w:top w:val="nil"/>
              <w:left w:val="nil"/>
              <w:bottom w:val="single" w:sz="12" w:space="0" w:color="70AD47" w:themeColor="accent6"/>
              <w:right w:val="nil"/>
            </w:tcBorders>
            <w:shd w:val="clear" w:color="000000" w:fill="C6E0B4"/>
            <w:noWrap/>
            <w:vAlign w:val="center"/>
            <w:hideMark/>
          </w:tcPr>
          <w:p w:rsidR="006E0B1B" w:rsidRPr="00CA0BE9" w:rsidRDefault="006E0B1B" w:rsidP="00816B90">
            <w:pPr>
              <w:spacing w:after="0" w:line="240" w:lineRule="auto"/>
              <w:jc w:val="center"/>
              <w:rPr>
                <w:rFonts w:ascii="Arial" w:eastAsia="Times New Roman" w:hAnsi="Arial" w:cs="Arial"/>
                <w:color w:val="000000"/>
              </w:rPr>
            </w:pPr>
            <w:r w:rsidRPr="00CA0BE9">
              <w:rPr>
                <w:rFonts w:ascii="Arial" w:eastAsia="Times New Roman" w:hAnsi="Arial" w:cs="Arial"/>
                <w:color w:val="000000"/>
              </w:rPr>
              <w:t> </w:t>
            </w:r>
          </w:p>
        </w:tc>
        <w:tc>
          <w:tcPr>
            <w:tcW w:w="1288" w:type="dxa"/>
            <w:tcBorders>
              <w:top w:val="nil"/>
              <w:left w:val="nil"/>
              <w:bottom w:val="single" w:sz="12" w:space="0" w:color="70AD47" w:themeColor="accent6"/>
              <w:right w:val="single" w:sz="12" w:space="0" w:color="70AD47" w:themeColor="accent6"/>
            </w:tcBorders>
            <w:shd w:val="clear" w:color="000000" w:fill="C6E0B4"/>
            <w:vAlign w:val="center"/>
            <w:hideMark/>
          </w:tcPr>
          <w:p w:rsidR="006E0B1B" w:rsidRPr="00CA0BE9" w:rsidRDefault="006E0B1B" w:rsidP="00816B90">
            <w:pPr>
              <w:spacing w:after="0" w:line="240" w:lineRule="auto"/>
              <w:jc w:val="center"/>
              <w:rPr>
                <w:rFonts w:ascii="Calibri" w:eastAsia="Times New Roman" w:hAnsi="Calibri" w:cs="Arial"/>
                <w:b/>
                <w:bCs/>
                <w:color w:val="000000"/>
              </w:rPr>
            </w:pPr>
            <w:r w:rsidRPr="00CA0BE9">
              <w:rPr>
                <w:rFonts w:ascii="Calibri" w:eastAsia="Times New Roman" w:hAnsi="Calibri" w:cs="Arial"/>
                <w:b/>
                <w:bCs/>
                <w:color w:val="000000"/>
              </w:rPr>
              <w:t>100%</w:t>
            </w:r>
          </w:p>
        </w:tc>
      </w:tr>
    </w:tbl>
    <w:p w:rsidR="0093181B" w:rsidRDefault="0093181B" w:rsidP="00751700">
      <w:pPr>
        <w:pStyle w:val="NormalWeb"/>
        <w:spacing w:after="240"/>
      </w:pPr>
    </w:p>
    <w:sectPr w:rsidR="0093181B" w:rsidSect="00ED481F">
      <w:pgSz w:w="15840" w:h="24480" w:code="17"/>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6BCD6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8A6FDB"/>
    <w:multiLevelType w:val="hybridMultilevel"/>
    <w:tmpl w:val="C46E4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117EC5"/>
    <w:multiLevelType w:val="multilevel"/>
    <w:tmpl w:val="D700A8C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5E56F6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499D61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2523BC5"/>
    <w:multiLevelType w:val="multilevel"/>
    <w:tmpl w:val="4D983B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FB"/>
    <w:rsid w:val="00060A1D"/>
    <w:rsid w:val="00070312"/>
    <w:rsid w:val="000F1EEC"/>
    <w:rsid w:val="00141549"/>
    <w:rsid w:val="0014164D"/>
    <w:rsid w:val="00187B09"/>
    <w:rsid w:val="001E0ADF"/>
    <w:rsid w:val="00211DBE"/>
    <w:rsid w:val="002265A6"/>
    <w:rsid w:val="00282096"/>
    <w:rsid w:val="0028485B"/>
    <w:rsid w:val="002A78FB"/>
    <w:rsid w:val="003557D3"/>
    <w:rsid w:val="00380B95"/>
    <w:rsid w:val="00392308"/>
    <w:rsid w:val="003C134D"/>
    <w:rsid w:val="003C566A"/>
    <w:rsid w:val="00412736"/>
    <w:rsid w:val="0042191B"/>
    <w:rsid w:val="00443A50"/>
    <w:rsid w:val="004707B9"/>
    <w:rsid w:val="00487A54"/>
    <w:rsid w:val="004A4341"/>
    <w:rsid w:val="004A4E27"/>
    <w:rsid w:val="004D004F"/>
    <w:rsid w:val="004F0232"/>
    <w:rsid w:val="00505DCF"/>
    <w:rsid w:val="006A61B8"/>
    <w:rsid w:val="006E00A6"/>
    <w:rsid w:val="006E0B1B"/>
    <w:rsid w:val="007035E9"/>
    <w:rsid w:val="00751700"/>
    <w:rsid w:val="00771D89"/>
    <w:rsid w:val="00784B38"/>
    <w:rsid w:val="007B059E"/>
    <w:rsid w:val="007D25DB"/>
    <w:rsid w:val="0085398B"/>
    <w:rsid w:val="008A7019"/>
    <w:rsid w:val="0093181B"/>
    <w:rsid w:val="00937E34"/>
    <w:rsid w:val="009B5E64"/>
    <w:rsid w:val="00A0033A"/>
    <w:rsid w:val="00A27754"/>
    <w:rsid w:val="00A30777"/>
    <w:rsid w:val="00A30E54"/>
    <w:rsid w:val="00AB1B06"/>
    <w:rsid w:val="00AC035E"/>
    <w:rsid w:val="00B22D73"/>
    <w:rsid w:val="00B470FD"/>
    <w:rsid w:val="00BF2CB4"/>
    <w:rsid w:val="00CA0BE9"/>
    <w:rsid w:val="00CD1FAD"/>
    <w:rsid w:val="00CE5873"/>
    <w:rsid w:val="00D17C57"/>
    <w:rsid w:val="00D22E87"/>
    <w:rsid w:val="00D74837"/>
    <w:rsid w:val="00D96D38"/>
    <w:rsid w:val="00DB1BAA"/>
    <w:rsid w:val="00DC6114"/>
    <w:rsid w:val="00DE72C0"/>
    <w:rsid w:val="00E935C7"/>
    <w:rsid w:val="00EA1C8F"/>
    <w:rsid w:val="00ED481F"/>
    <w:rsid w:val="00EF614D"/>
    <w:rsid w:val="00EF7B16"/>
    <w:rsid w:val="00F31F25"/>
    <w:rsid w:val="00F8741C"/>
    <w:rsid w:val="00FA3DCC"/>
    <w:rsid w:val="00FF4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0C8AE6E-7828-4D78-A5A3-0C5B2B5A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5873"/>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E5873"/>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E5873"/>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587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587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587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587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587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587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Title"/>
    <w:qFormat/>
    <w:rsid w:val="0085398B"/>
    <w:rPr>
      <w:rFonts w:ascii="Arial" w:hAnsi="Arial" w:cs="Arial"/>
      <w:color w:val="44546A" w:themeColor="text2"/>
      <w:sz w:val="44"/>
      <w:szCs w:val="44"/>
    </w:rPr>
  </w:style>
  <w:style w:type="paragraph" w:styleId="Title">
    <w:name w:val="Title"/>
    <w:basedOn w:val="Normal"/>
    <w:next w:val="Normal"/>
    <w:link w:val="TitleChar"/>
    <w:uiPriority w:val="10"/>
    <w:qFormat/>
    <w:rsid w:val="008539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98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E5873"/>
    <w:pPr>
      <w:ind w:left="720"/>
      <w:contextualSpacing/>
    </w:pPr>
  </w:style>
  <w:style w:type="character" w:customStyle="1" w:styleId="Heading1Char">
    <w:name w:val="Heading 1 Char"/>
    <w:basedOn w:val="DefaultParagraphFont"/>
    <w:link w:val="Heading1"/>
    <w:uiPriority w:val="9"/>
    <w:rsid w:val="00CE587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E58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E587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587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587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587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587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58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5873"/>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unhideWhenUsed/>
    <w:rsid w:val="006E00A6"/>
    <w:pPr>
      <w:numPr>
        <w:numId w:val="5"/>
      </w:numPr>
      <w:contextualSpacing/>
    </w:pPr>
  </w:style>
  <w:style w:type="paragraph" w:styleId="NormalWeb">
    <w:name w:val="Normal (Web)"/>
    <w:basedOn w:val="Normal"/>
    <w:uiPriority w:val="99"/>
    <w:unhideWhenUsed/>
    <w:rsid w:val="002A78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78FB"/>
  </w:style>
  <w:style w:type="character" w:styleId="Emphasis">
    <w:name w:val="Emphasis"/>
    <w:basedOn w:val="DefaultParagraphFont"/>
    <w:uiPriority w:val="20"/>
    <w:qFormat/>
    <w:rsid w:val="002A78FB"/>
    <w:rPr>
      <w:i/>
      <w:iCs/>
    </w:rPr>
  </w:style>
  <w:style w:type="character" w:styleId="Hyperlink">
    <w:name w:val="Hyperlink"/>
    <w:basedOn w:val="DefaultParagraphFont"/>
    <w:uiPriority w:val="99"/>
    <w:unhideWhenUsed/>
    <w:rsid w:val="002A78FB"/>
    <w:rPr>
      <w:color w:val="0000FF"/>
      <w:u w:val="single"/>
    </w:rPr>
  </w:style>
  <w:style w:type="character" w:styleId="Strong">
    <w:name w:val="Strong"/>
    <w:basedOn w:val="DefaultParagraphFont"/>
    <w:uiPriority w:val="22"/>
    <w:qFormat/>
    <w:rsid w:val="00070312"/>
    <w:rPr>
      <w:b/>
      <w:bCs/>
    </w:rPr>
  </w:style>
  <w:style w:type="paragraph" w:customStyle="1" w:styleId="SubHeading2">
    <w:name w:val="Sub_Heading2"/>
    <w:basedOn w:val="Normal"/>
    <w:link w:val="SubHeading2Char"/>
    <w:qFormat/>
    <w:rsid w:val="007B059E"/>
    <w:pPr>
      <w:ind w:firstLine="720"/>
    </w:pPr>
    <w:rPr>
      <w:b/>
      <w:sz w:val="32"/>
      <w:u w:val="single"/>
    </w:rPr>
  </w:style>
  <w:style w:type="table" w:customStyle="1" w:styleId="PlainTable21">
    <w:name w:val="Plain Table 21"/>
    <w:basedOn w:val="TableNormal"/>
    <w:uiPriority w:val="42"/>
    <w:rsid w:val="007B05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ubHeading2Char">
    <w:name w:val="Sub_Heading2 Char"/>
    <w:basedOn w:val="DefaultParagraphFont"/>
    <w:link w:val="SubHeading2"/>
    <w:rsid w:val="007B059E"/>
    <w:rPr>
      <w:b/>
      <w:sz w:val="32"/>
      <w:u w:val="single"/>
    </w:rPr>
  </w:style>
  <w:style w:type="table" w:styleId="TableGrid">
    <w:name w:val="Table Grid"/>
    <w:basedOn w:val="TableNormal"/>
    <w:uiPriority w:val="39"/>
    <w:rsid w:val="007D25DB"/>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30E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771D89"/>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771D8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1D89"/>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4A434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A434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64806">
      <w:bodyDiv w:val="1"/>
      <w:marLeft w:val="0"/>
      <w:marRight w:val="0"/>
      <w:marTop w:val="0"/>
      <w:marBottom w:val="0"/>
      <w:divBdr>
        <w:top w:val="none" w:sz="0" w:space="0" w:color="auto"/>
        <w:left w:val="none" w:sz="0" w:space="0" w:color="auto"/>
        <w:bottom w:val="none" w:sz="0" w:space="0" w:color="auto"/>
        <w:right w:val="none" w:sz="0" w:space="0" w:color="auto"/>
      </w:divBdr>
    </w:div>
    <w:div w:id="533886948">
      <w:bodyDiv w:val="1"/>
      <w:marLeft w:val="0"/>
      <w:marRight w:val="0"/>
      <w:marTop w:val="0"/>
      <w:marBottom w:val="0"/>
      <w:divBdr>
        <w:top w:val="none" w:sz="0" w:space="0" w:color="auto"/>
        <w:left w:val="none" w:sz="0" w:space="0" w:color="auto"/>
        <w:bottom w:val="none" w:sz="0" w:space="0" w:color="auto"/>
        <w:right w:val="none" w:sz="0" w:space="0" w:color="auto"/>
      </w:divBdr>
    </w:div>
    <w:div w:id="1234046046">
      <w:bodyDiv w:val="1"/>
      <w:marLeft w:val="0"/>
      <w:marRight w:val="0"/>
      <w:marTop w:val="0"/>
      <w:marBottom w:val="0"/>
      <w:divBdr>
        <w:top w:val="none" w:sz="0" w:space="0" w:color="auto"/>
        <w:left w:val="none" w:sz="0" w:space="0" w:color="auto"/>
        <w:bottom w:val="none" w:sz="0" w:space="0" w:color="auto"/>
        <w:right w:val="none" w:sz="0" w:space="0" w:color="auto"/>
      </w:divBdr>
    </w:div>
    <w:div w:id="12478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orbor\Documents\Custom%20Office%20Templates\OCG%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36A9B-E405-49E0-99C1-9D89CC0A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OCG Policy Template.dotx</Template>
  <TotalTime>0</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dtorbor</dc:creator>
  <cp:keywords/>
  <dc:description/>
  <cp:lastModifiedBy>Spearman, Nitiya</cp:lastModifiedBy>
  <cp:revision>2</cp:revision>
  <dcterms:created xsi:type="dcterms:W3CDTF">2016-08-30T16:04:00Z</dcterms:created>
  <dcterms:modified xsi:type="dcterms:W3CDTF">2016-08-30T16:04:00Z</dcterms:modified>
</cp:coreProperties>
</file>