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E0" w:rsidRPr="00CE5873" w:rsidRDefault="00D614E0" w:rsidP="00D614E0">
      <w:pPr>
        <w:pStyle w:val="Title"/>
        <w:rPr>
          <w:i/>
        </w:rPr>
      </w:pPr>
      <w:r>
        <w:rPr>
          <w:i/>
        </w:rPr>
        <w:t>Effort Reporting</w:t>
      </w:r>
      <w:r w:rsidR="00452C88">
        <w:rPr>
          <w:i/>
        </w:rPr>
        <w:t xml:space="preserve"> </w:t>
      </w:r>
      <w:r w:rsidR="007C4B9C">
        <w:rPr>
          <w:i/>
        </w:rPr>
        <w:t>Guidelines</w:t>
      </w:r>
    </w:p>
    <w:p w:rsidR="00D614E0" w:rsidRDefault="00D614E0" w:rsidP="00D614E0">
      <w:pPr>
        <w:rPr>
          <w:i/>
        </w:rPr>
      </w:pPr>
    </w:p>
    <w:p w:rsidR="00D16BC3" w:rsidRDefault="00D16BC3" w:rsidP="007C4B9C">
      <w:r w:rsidRPr="002A78FB">
        <w:t xml:space="preserve">As a recipient of external funding, the University </w:t>
      </w:r>
      <w:r w:rsidR="000E0604">
        <w:t xml:space="preserve">is required to demonstrate that the payment </w:t>
      </w:r>
      <w:r>
        <w:t xml:space="preserve">of salary and wages </w:t>
      </w:r>
      <w:r w:rsidR="000E0604">
        <w:t>from</w:t>
      </w:r>
      <w:r w:rsidRPr="002A78FB">
        <w:t xml:space="preserve"> </w:t>
      </w:r>
      <w:r w:rsidR="000E0604">
        <w:t xml:space="preserve">external funds is consistent </w:t>
      </w:r>
      <w:r w:rsidR="000E0604" w:rsidRPr="00B67DD3">
        <w:t>with</w:t>
      </w:r>
      <w:r w:rsidRPr="00B67DD3">
        <w:t xml:space="preserve"> </w:t>
      </w:r>
      <w:r w:rsidR="00B96614" w:rsidRPr="00B67DD3">
        <w:t xml:space="preserve">records </w:t>
      </w:r>
      <w:r w:rsidR="000E0604">
        <w:t xml:space="preserve">which </w:t>
      </w:r>
      <w:r>
        <w:t xml:space="preserve">accurately reflect the work performed. </w:t>
      </w:r>
      <w:r w:rsidR="00B96614">
        <w:t xml:space="preserve">As such, the University has in place systems of </w:t>
      </w:r>
      <w:r>
        <w:t xml:space="preserve">internal controls to assure </w:t>
      </w:r>
      <w:r w:rsidR="00B96614">
        <w:t xml:space="preserve">that </w:t>
      </w:r>
      <w:r>
        <w:t xml:space="preserve">compensation for </w:t>
      </w:r>
      <w:r w:rsidR="000E0604">
        <w:t xml:space="preserve">personal </w:t>
      </w:r>
      <w:r>
        <w:t xml:space="preserve">services are accurate, allowable, and properly allocated </w:t>
      </w:r>
      <w:r w:rsidR="000E0604">
        <w:t xml:space="preserve">to </w:t>
      </w:r>
      <w:r>
        <w:t xml:space="preserve">federal and non-federal </w:t>
      </w:r>
      <w:r w:rsidR="000E0604">
        <w:t xml:space="preserve">sponsored </w:t>
      </w:r>
      <w:r>
        <w:t xml:space="preserve">activities. </w:t>
      </w:r>
    </w:p>
    <w:p w:rsidR="00B96614" w:rsidRDefault="00D16BC3" w:rsidP="007C4B9C">
      <w:r>
        <w:t xml:space="preserve">The University of Houston’s Effort Reporting System tracks after-the-fact total activities, not to exceed 100% of the compensated activities </w:t>
      </w:r>
      <w:r w:rsidR="000E0604">
        <w:t xml:space="preserve">covered by </w:t>
      </w:r>
      <w:r>
        <w:t xml:space="preserve">the Institutional Base Salary (IBS), for all employees </w:t>
      </w:r>
      <w:r w:rsidR="00B96614" w:rsidRPr="00B67DD3">
        <w:t xml:space="preserve">working </w:t>
      </w:r>
      <w:r w:rsidR="00B96614">
        <w:t xml:space="preserve">on </w:t>
      </w:r>
      <w:r>
        <w:t>federal and other sponsored projects. This system</w:t>
      </w:r>
      <w:r w:rsidR="000E0604">
        <w:t xml:space="preserve"> demonstrates to</w:t>
      </w:r>
      <w:r>
        <w:t xml:space="preserve"> external sponsors that </w:t>
      </w:r>
      <w:r w:rsidR="000E0604">
        <w:t>funding</w:t>
      </w:r>
      <w:r>
        <w:t xml:space="preserve"> expended </w:t>
      </w:r>
      <w:r w:rsidR="000E0604">
        <w:t>on the designated</w:t>
      </w:r>
      <w:r>
        <w:t xml:space="preserve"> portion of an individual’s salary charged to a funded project is no greater than the</w:t>
      </w:r>
      <w:r w:rsidR="000E0604">
        <w:t xml:space="preserve"> </w:t>
      </w:r>
      <w:r>
        <w:t xml:space="preserve">individual's effort spent on that project. </w:t>
      </w:r>
    </w:p>
    <w:p w:rsidR="00D16BC3" w:rsidRDefault="00D16BC3" w:rsidP="007C4B9C">
      <w:r>
        <w:t>Principal Investigators (PIs) must confirm</w:t>
      </w:r>
      <w:r w:rsidR="000E0604">
        <w:t xml:space="preserve"> </w:t>
      </w:r>
      <w:r w:rsidR="00B96614">
        <w:t xml:space="preserve">for themselves and </w:t>
      </w:r>
      <w:r w:rsidR="000E0604">
        <w:t xml:space="preserve">all </w:t>
      </w:r>
      <w:r w:rsidR="00B96614">
        <w:t>others working on their project</w:t>
      </w:r>
      <w:r>
        <w:t>, that salaries charged to sponsored projects are consistent with the effort that was contributed.</w:t>
      </w:r>
      <w:r w:rsidRPr="00141549">
        <w:t xml:space="preserve"> </w:t>
      </w:r>
    </w:p>
    <w:p w:rsidR="003F70A4" w:rsidRPr="00B96614" w:rsidRDefault="00B96614" w:rsidP="00B96614">
      <w:pPr>
        <w:rPr>
          <w:b/>
        </w:rPr>
      </w:pPr>
      <w:r w:rsidRPr="00B96614">
        <w:rPr>
          <w:b/>
        </w:rPr>
        <w:t>Federal Requirement:</w:t>
      </w:r>
    </w:p>
    <w:p w:rsidR="00B96614" w:rsidRDefault="00B96614" w:rsidP="00B96614">
      <w:r>
        <w:t xml:space="preserve">The Federal requirement regarding effort reporting is outlined in the Uniform Guidance section §200.430, </w:t>
      </w:r>
      <w:r w:rsidRPr="00B96614">
        <w:t>Compensation</w:t>
      </w:r>
      <w:r>
        <w:t>-</w:t>
      </w:r>
      <w:r w:rsidRPr="00B96614">
        <w:t>personal services</w:t>
      </w:r>
      <w:r>
        <w:t>. It states that the standards for documentation of personnel cost charges to Federal awards for salaries and wages must be based on records that accurately reflect the work performed</w:t>
      </w:r>
      <w:r w:rsidR="000E0604">
        <w:t>,</w:t>
      </w:r>
      <w:r>
        <w:t xml:space="preserve"> and </w:t>
      </w:r>
      <w:r w:rsidR="000E0604">
        <w:t xml:space="preserve">that </w:t>
      </w:r>
      <w:r>
        <w:t>these records must:</w:t>
      </w:r>
    </w:p>
    <w:p w:rsidR="00B96614" w:rsidRDefault="00B96614" w:rsidP="00B96614">
      <w:pPr>
        <w:pStyle w:val="ListParagraph"/>
        <w:numPr>
          <w:ilvl w:val="0"/>
          <w:numId w:val="3"/>
        </w:numPr>
      </w:pPr>
      <w:r>
        <w:t>Be supported by a system of internal control which provides reasonable assurance that the charges are accurate, allowable, and properly allocated;</w:t>
      </w:r>
    </w:p>
    <w:p w:rsidR="00B96614" w:rsidRDefault="00B96614" w:rsidP="00B96614">
      <w:pPr>
        <w:pStyle w:val="ListParagraph"/>
        <w:numPr>
          <w:ilvl w:val="0"/>
          <w:numId w:val="3"/>
        </w:numPr>
      </w:pPr>
      <w:r>
        <w:t>Be incorporated into the official records of the non-Federal entity;</w:t>
      </w:r>
    </w:p>
    <w:p w:rsidR="00B96614" w:rsidRDefault="00B96614" w:rsidP="00B96614">
      <w:pPr>
        <w:pStyle w:val="ListParagraph"/>
        <w:numPr>
          <w:ilvl w:val="0"/>
          <w:numId w:val="3"/>
        </w:numPr>
      </w:pPr>
      <w:r>
        <w:t>Reasonably reflect the total activity for which the employee is compensated by the University, not exceeding 100% of the IBS;</w:t>
      </w:r>
    </w:p>
    <w:p w:rsidR="00B96614" w:rsidRDefault="00B96614" w:rsidP="00B96614">
      <w:pPr>
        <w:pStyle w:val="ListParagraph"/>
        <w:numPr>
          <w:ilvl w:val="0"/>
          <w:numId w:val="3"/>
        </w:numPr>
      </w:pPr>
      <w:r>
        <w:t xml:space="preserve">Encompass both </w:t>
      </w:r>
      <w:r w:rsidRPr="00B96614">
        <w:rPr>
          <w:i/>
          <w:u w:val="single"/>
        </w:rPr>
        <w:t>federally assisted and all other activities</w:t>
      </w:r>
      <w:r>
        <w:t xml:space="preserve"> compensated by the University on an integrated basis (teaching, research, administrative)</w:t>
      </w:r>
      <w:r w:rsidR="007C1B34">
        <w:t>;</w:t>
      </w:r>
    </w:p>
    <w:p w:rsidR="00B96614" w:rsidRDefault="00B96614" w:rsidP="00B96614">
      <w:pPr>
        <w:pStyle w:val="ListParagraph"/>
        <w:numPr>
          <w:ilvl w:val="0"/>
          <w:numId w:val="3"/>
        </w:numPr>
      </w:pPr>
      <w:r>
        <w:t>Comply with the established accounting policies and practices of the University for Additional Compensation.</w:t>
      </w:r>
    </w:p>
    <w:p w:rsidR="00B96614" w:rsidRDefault="00B96614" w:rsidP="00B96614">
      <w:pPr>
        <w:pStyle w:val="ListParagraph"/>
        <w:numPr>
          <w:ilvl w:val="0"/>
          <w:numId w:val="3"/>
        </w:numPr>
      </w:pPr>
      <w:r>
        <w:t>Support the distribution of the employee's salary or wages among specific activities or cost objectives if the employee works on more than one Federal award; a Federal award and non-Federal award; an indirect cost activity and a direct cost activity; two or more indirect activities which are allocated using different allocation bases; or an unallowable activity and a direct or indirect cost activity.</w:t>
      </w:r>
    </w:p>
    <w:p w:rsidR="00B96614" w:rsidRPr="00B96614" w:rsidRDefault="00B96614" w:rsidP="00E53DFD">
      <w:pPr>
        <w:pStyle w:val="ListParagraph"/>
        <w:numPr>
          <w:ilvl w:val="0"/>
          <w:numId w:val="3"/>
        </w:numPr>
        <w:rPr>
          <w:b/>
          <w:u w:val="single"/>
        </w:rPr>
      </w:pPr>
      <w:r>
        <w:t>Budget estimates alone do not qualify as support for charges to Federal awards</w:t>
      </w:r>
    </w:p>
    <w:p w:rsidR="008E511A" w:rsidRPr="00CA1339" w:rsidRDefault="008E511A" w:rsidP="00B96614">
      <w:pPr>
        <w:rPr>
          <w:b/>
        </w:rPr>
      </w:pPr>
      <w:r w:rsidRPr="00CA1339">
        <w:rPr>
          <w:b/>
        </w:rPr>
        <w:t>Frequency of</w:t>
      </w:r>
      <w:r w:rsidR="003706D6" w:rsidRPr="00CA1339">
        <w:rPr>
          <w:b/>
        </w:rPr>
        <w:t xml:space="preserve"> Effort</w:t>
      </w:r>
      <w:r w:rsidRPr="00CA1339">
        <w:rPr>
          <w:b/>
        </w:rPr>
        <w:t xml:space="preserve"> Reports</w:t>
      </w:r>
    </w:p>
    <w:p w:rsidR="008E511A" w:rsidRPr="008E511A" w:rsidRDefault="008E511A" w:rsidP="00B96614">
      <w:r w:rsidRPr="008E511A">
        <w:t xml:space="preserve">The University of Houston </w:t>
      </w:r>
      <w:r w:rsidR="00B96614" w:rsidRPr="00B96614">
        <w:t xml:space="preserve">issues effort reports </w:t>
      </w:r>
      <w:r w:rsidR="00874D8A" w:rsidRPr="00B96614">
        <w:t xml:space="preserve">on a quarterly basis </w:t>
      </w:r>
      <w:r w:rsidR="00B96614" w:rsidRPr="00B96614">
        <w:t xml:space="preserve">for all </w:t>
      </w:r>
      <w:r w:rsidR="00874D8A">
        <w:t xml:space="preserve">Principal Investigators and other </w:t>
      </w:r>
      <w:r w:rsidR="00B96614" w:rsidRPr="00B96614">
        <w:t>employees</w:t>
      </w:r>
      <w:r w:rsidR="00874D8A">
        <w:t xml:space="preserve"> paid on sponsored projects or contributing effort towards it</w:t>
      </w:r>
      <w:r w:rsidR="00B96614">
        <w:t>.</w:t>
      </w:r>
      <w:r w:rsidR="00B96614" w:rsidRPr="00B96614">
        <w:t xml:space="preserve"> </w:t>
      </w:r>
      <w:r w:rsidR="00B96614">
        <w:t xml:space="preserve">Below </w:t>
      </w:r>
      <w:r w:rsidR="000E0604">
        <w:t xml:space="preserve">are </w:t>
      </w:r>
      <w:r w:rsidR="00B96614">
        <w:t>the</w:t>
      </w:r>
      <w:r w:rsidR="000E0604">
        <w:t xml:space="preserve"> e</w:t>
      </w:r>
      <w:r w:rsidR="00B96614">
        <w:t xml:space="preserve">ffort reporting periods.  The certification completion for each period depends on timeframe of the initiation and release of the reports.  </w:t>
      </w:r>
    </w:p>
    <w:tbl>
      <w:tblPr>
        <w:tblStyle w:val="GridTable1Light1"/>
        <w:tblW w:w="5222" w:type="dxa"/>
        <w:tblInd w:w="2047" w:type="dxa"/>
        <w:tblLook w:val="0620" w:firstRow="1" w:lastRow="0" w:firstColumn="0" w:lastColumn="0" w:noHBand="1" w:noVBand="1"/>
      </w:tblPr>
      <w:tblGrid>
        <w:gridCol w:w="1329"/>
        <w:gridCol w:w="3893"/>
      </w:tblGrid>
      <w:tr w:rsidR="008E511A" w:rsidRPr="008E511A" w:rsidTr="00370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tcW w:w="0" w:type="auto"/>
            <w:vAlign w:val="center"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lastRenderedPageBreak/>
              <w:t>Quarter</w:t>
            </w:r>
          </w:p>
        </w:tc>
        <w:tc>
          <w:tcPr>
            <w:tcW w:w="0" w:type="auto"/>
            <w:vAlign w:val="center"/>
            <w:hideMark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Reporting Period</w:t>
            </w:r>
          </w:p>
        </w:tc>
      </w:tr>
      <w:tr w:rsidR="008E511A" w:rsidRPr="008E511A" w:rsidTr="003706D6">
        <w:trPr>
          <w:trHeight w:val="141"/>
        </w:trPr>
        <w:tc>
          <w:tcPr>
            <w:tcW w:w="0" w:type="auto"/>
            <w:vAlign w:val="center"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1</w:t>
            </w:r>
          </w:p>
        </w:tc>
        <w:tc>
          <w:tcPr>
            <w:tcW w:w="0" w:type="auto"/>
            <w:vAlign w:val="center"/>
            <w:hideMark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September 1 - November 30</w:t>
            </w:r>
          </w:p>
        </w:tc>
      </w:tr>
      <w:tr w:rsidR="008E511A" w:rsidRPr="008E511A" w:rsidTr="003706D6">
        <w:trPr>
          <w:trHeight w:val="141"/>
        </w:trPr>
        <w:tc>
          <w:tcPr>
            <w:tcW w:w="0" w:type="auto"/>
            <w:vAlign w:val="center"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2</w:t>
            </w:r>
          </w:p>
        </w:tc>
        <w:tc>
          <w:tcPr>
            <w:tcW w:w="0" w:type="auto"/>
            <w:vAlign w:val="center"/>
            <w:hideMark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December 1 - February 28</w:t>
            </w:r>
          </w:p>
        </w:tc>
      </w:tr>
      <w:tr w:rsidR="008E511A" w:rsidRPr="008E511A" w:rsidTr="003706D6">
        <w:trPr>
          <w:trHeight w:val="141"/>
        </w:trPr>
        <w:tc>
          <w:tcPr>
            <w:tcW w:w="0" w:type="auto"/>
            <w:vAlign w:val="center"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3</w:t>
            </w:r>
          </w:p>
        </w:tc>
        <w:tc>
          <w:tcPr>
            <w:tcW w:w="0" w:type="auto"/>
            <w:vAlign w:val="center"/>
            <w:hideMark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March 1 - May 31</w:t>
            </w:r>
          </w:p>
        </w:tc>
      </w:tr>
      <w:tr w:rsidR="008E511A" w:rsidRPr="008E511A" w:rsidTr="003706D6">
        <w:trPr>
          <w:trHeight w:val="141"/>
        </w:trPr>
        <w:tc>
          <w:tcPr>
            <w:tcW w:w="0" w:type="auto"/>
            <w:vAlign w:val="center"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4</w:t>
            </w:r>
          </w:p>
        </w:tc>
        <w:tc>
          <w:tcPr>
            <w:tcW w:w="0" w:type="auto"/>
            <w:vAlign w:val="center"/>
            <w:hideMark/>
          </w:tcPr>
          <w:p w:rsidR="008E511A" w:rsidRPr="008E511A" w:rsidRDefault="008E511A" w:rsidP="008E511A">
            <w:pPr>
              <w:spacing w:after="160" w:line="259" w:lineRule="auto"/>
            </w:pPr>
            <w:r w:rsidRPr="008E511A">
              <w:t>June 1 - August 31</w:t>
            </w:r>
          </w:p>
        </w:tc>
      </w:tr>
    </w:tbl>
    <w:p w:rsidR="00A836D5" w:rsidRPr="008E511A" w:rsidRDefault="00A836D5" w:rsidP="008E511A"/>
    <w:p w:rsidR="008E511A" w:rsidRPr="00CA1339" w:rsidRDefault="00B96614" w:rsidP="00B96614">
      <w:pPr>
        <w:rPr>
          <w:b/>
        </w:rPr>
      </w:pPr>
      <w:r w:rsidRPr="00CA1339">
        <w:rPr>
          <w:b/>
        </w:rPr>
        <w:t>Timing and Responsibility</w:t>
      </w:r>
    </w:p>
    <w:p w:rsidR="008E511A" w:rsidRPr="008E511A" w:rsidRDefault="008E511A" w:rsidP="00B96614">
      <w:r w:rsidRPr="008E511A">
        <w:t>Each department is responsible for establishing business process</w:t>
      </w:r>
      <w:r w:rsidR="000E0604">
        <w:t>es</w:t>
      </w:r>
      <w:r w:rsidR="00874D8A">
        <w:t xml:space="preserve"> to certify effort reports</w:t>
      </w:r>
      <w:r w:rsidRPr="008E511A">
        <w:t xml:space="preserve">. </w:t>
      </w:r>
      <w:r w:rsidR="00B96614">
        <w:t>The</w:t>
      </w:r>
      <w:r w:rsidRPr="008E511A">
        <w:t xml:space="preserve"> </w:t>
      </w:r>
      <w:r w:rsidR="00B96614">
        <w:t>Department Business Manage</w:t>
      </w:r>
      <w:r w:rsidR="000E0604">
        <w:t>r</w:t>
      </w:r>
      <w:r w:rsidR="00B96614">
        <w:t xml:space="preserve"> is responsible for working with the PI and for f</w:t>
      </w:r>
      <w:r w:rsidRPr="008E511A">
        <w:t>ollow-up to ensure effort forms are certified</w:t>
      </w:r>
      <w:r w:rsidR="00B96614">
        <w:t>.</w:t>
      </w:r>
    </w:p>
    <w:p w:rsidR="008E511A" w:rsidRPr="008E511A" w:rsidRDefault="008E511A" w:rsidP="008E511A"/>
    <w:tbl>
      <w:tblPr>
        <w:tblStyle w:val="TableGrid"/>
        <w:tblW w:w="9445" w:type="dxa"/>
        <w:tblInd w:w="625" w:type="dxa"/>
        <w:tblLook w:val="04A0" w:firstRow="1" w:lastRow="0" w:firstColumn="1" w:lastColumn="0" w:noHBand="0" w:noVBand="1"/>
      </w:tblPr>
      <w:tblGrid>
        <w:gridCol w:w="3418"/>
        <w:gridCol w:w="6027"/>
      </w:tblGrid>
      <w:tr w:rsidR="008E511A" w:rsidRPr="008E511A" w:rsidTr="00B96614">
        <w:trPr>
          <w:trHeight w:val="45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1A" w:rsidRPr="008E511A" w:rsidRDefault="008E511A" w:rsidP="008E511A">
            <w:r w:rsidRPr="008E511A">
              <w:rPr>
                <w:b/>
                <w:bCs/>
              </w:rPr>
              <w:t>Time Frame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1A" w:rsidRPr="008E511A" w:rsidRDefault="008E511A" w:rsidP="008E511A">
            <w:r w:rsidRPr="008E511A">
              <w:rPr>
                <w:b/>
                <w:bCs/>
              </w:rPr>
              <w:t>Recipient</w:t>
            </w:r>
            <w:r w:rsidR="00B96614">
              <w:rPr>
                <w:b/>
                <w:bCs/>
              </w:rPr>
              <w:t xml:space="preserve"> Responsibility</w:t>
            </w:r>
          </w:p>
        </w:tc>
      </w:tr>
      <w:tr w:rsidR="008E511A" w:rsidRPr="008E511A" w:rsidTr="00B96614">
        <w:trPr>
          <w:trHeight w:val="10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1A" w:rsidRPr="008E511A" w:rsidRDefault="008E511A" w:rsidP="00B96614">
            <w:pPr>
              <w:spacing w:after="160" w:line="259" w:lineRule="auto"/>
            </w:pPr>
            <w:r w:rsidRPr="008E511A">
              <w:t>Initiation</w:t>
            </w:r>
            <w:r w:rsidR="00B96614">
              <w:t xml:space="preserve"> </w:t>
            </w:r>
            <w:r w:rsidR="00B96614" w:rsidRPr="00B96614">
              <w:rPr>
                <w:i/>
              </w:rPr>
              <w:t xml:space="preserve">(90 days after the close of the reporting period) 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1A" w:rsidRPr="008E511A" w:rsidRDefault="008E511A" w:rsidP="00B96614">
            <w:pPr>
              <w:spacing w:after="160" w:line="259" w:lineRule="auto"/>
              <w:rPr>
                <w:i/>
              </w:rPr>
            </w:pPr>
            <w:r w:rsidRPr="008E511A">
              <w:rPr>
                <w:i/>
              </w:rPr>
              <w:t xml:space="preserve">The Central Administrator </w:t>
            </w:r>
            <w:r w:rsidR="00B96614">
              <w:rPr>
                <w:i/>
              </w:rPr>
              <w:t xml:space="preserve">(CA) </w:t>
            </w:r>
            <w:r w:rsidRPr="008E511A">
              <w:t>works with</w:t>
            </w:r>
            <w:r w:rsidR="00B96614">
              <w:t xml:space="preserve"> the</w:t>
            </w:r>
            <w:r w:rsidRPr="008E511A">
              <w:t xml:space="preserve"> H</w:t>
            </w:r>
            <w:r w:rsidR="00B96614">
              <w:t xml:space="preserve">uman </w:t>
            </w:r>
            <w:r w:rsidRPr="008E511A">
              <w:t>R</w:t>
            </w:r>
            <w:r w:rsidR="00B96614">
              <w:t>esources Department (HR)</w:t>
            </w:r>
            <w:r w:rsidRPr="008E511A">
              <w:t xml:space="preserve"> to extract the </w:t>
            </w:r>
            <w:r w:rsidR="00B96614">
              <w:t xml:space="preserve">payroll </w:t>
            </w:r>
            <w:r w:rsidRPr="008E511A">
              <w:t>data into MAXIMUS</w:t>
            </w:r>
            <w:r w:rsidR="00B96614">
              <w:t xml:space="preserve"> and configure for the reports. </w:t>
            </w:r>
          </w:p>
        </w:tc>
      </w:tr>
      <w:tr w:rsidR="008E511A" w:rsidRPr="008E511A" w:rsidTr="00B96614">
        <w:trPr>
          <w:trHeight w:val="10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1A" w:rsidRPr="008E511A" w:rsidRDefault="00B96614" w:rsidP="00B96614">
            <w:r>
              <w:t>Notification</w:t>
            </w:r>
            <w:r w:rsidR="008E511A" w:rsidRPr="008E511A">
              <w:t xml:space="preserve"> (</w:t>
            </w:r>
            <w:r>
              <w:t>30 days after initiation</w:t>
            </w:r>
            <w:r w:rsidR="008E511A" w:rsidRPr="008E511A">
              <w:t>)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1A" w:rsidRPr="008E511A" w:rsidRDefault="008E511A" w:rsidP="000E0604">
            <w:r w:rsidRPr="008E511A">
              <w:rPr>
                <w:i/>
              </w:rPr>
              <w:t xml:space="preserve">The </w:t>
            </w:r>
            <w:r w:rsidR="00B96614">
              <w:rPr>
                <w:i/>
              </w:rPr>
              <w:t>CA</w:t>
            </w:r>
            <w:r w:rsidRPr="008E511A">
              <w:rPr>
                <w:i/>
              </w:rPr>
              <w:t xml:space="preserve"> </w:t>
            </w:r>
            <w:r w:rsidR="00B96614">
              <w:t>sends</w:t>
            </w:r>
            <w:r w:rsidRPr="008E511A">
              <w:t xml:space="preserve"> an email notification to the </w:t>
            </w:r>
            <w:r w:rsidRPr="008E511A">
              <w:rPr>
                <w:i/>
              </w:rPr>
              <w:t>Department Business Managers (DBA)</w:t>
            </w:r>
            <w:r w:rsidRPr="008E511A">
              <w:t xml:space="preserve"> via listserv informing </w:t>
            </w:r>
            <w:r w:rsidR="000E0604">
              <w:t>him</w:t>
            </w:r>
            <w:r w:rsidR="00D95E6F">
              <w:t>/her</w:t>
            </w:r>
            <w:r w:rsidR="000E0604" w:rsidRPr="008E511A">
              <w:t xml:space="preserve"> </w:t>
            </w:r>
            <w:r w:rsidRPr="008E511A">
              <w:t>that the effort form is ready for review</w:t>
            </w:r>
            <w:r w:rsidR="00B96614">
              <w:t xml:space="preserve">.  This is referred to as the </w:t>
            </w:r>
            <w:r w:rsidRPr="008E511A">
              <w:rPr>
                <w:i/>
              </w:rPr>
              <w:t>Pre-Review Process</w:t>
            </w:r>
            <w:r w:rsidRPr="008E511A">
              <w:t xml:space="preserve">. </w:t>
            </w:r>
          </w:p>
        </w:tc>
      </w:tr>
      <w:tr w:rsidR="008E511A" w:rsidRPr="008E511A" w:rsidTr="00B96614">
        <w:trPr>
          <w:trHeight w:val="742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1A" w:rsidRPr="008E511A" w:rsidRDefault="00B96614" w:rsidP="00B96614">
            <w:r>
              <w:t>Release (30 days after Notification)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1A" w:rsidRPr="008E511A" w:rsidRDefault="008E511A" w:rsidP="000E0604">
            <w:r w:rsidRPr="008E511A">
              <w:t>The</w:t>
            </w:r>
            <w:r w:rsidR="00B96614">
              <w:t xml:space="preserve"> </w:t>
            </w:r>
            <w:r w:rsidRPr="008E511A">
              <w:rPr>
                <w:i/>
              </w:rPr>
              <w:t>DBA</w:t>
            </w:r>
            <w:r w:rsidRPr="008E511A">
              <w:t xml:space="preserve"> </w:t>
            </w:r>
            <w:r w:rsidR="00B96614">
              <w:t>completes</w:t>
            </w:r>
            <w:r w:rsidRPr="008E511A">
              <w:t xml:space="preserve"> the pre-review process</w:t>
            </w:r>
            <w:r w:rsidR="00B96614">
              <w:t xml:space="preserve">. This </w:t>
            </w:r>
            <w:r w:rsidRPr="008E511A">
              <w:t xml:space="preserve">may include </w:t>
            </w:r>
            <w:r w:rsidR="00B96614">
              <w:t>corrections to payroll (reallocations) before the form can be release</w:t>
            </w:r>
            <w:r w:rsidR="000E0604">
              <w:t>d</w:t>
            </w:r>
            <w:r w:rsidR="00B96614">
              <w:t xml:space="preserve"> to the PI</w:t>
            </w:r>
            <w:r w:rsidRPr="008E511A">
              <w:rPr>
                <w:i/>
              </w:rPr>
              <w:t xml:space="preserve"> </w:t>
            </w:r>
            <w:r w:rsidR="00B96614">
              <w:rPr>
                <w:i/>
              </w:rPr>
              <w:t xml:space="preserve">for certification.  The PI </w:t>
            </w:r>
            <w:r w:rsidR="00B96614" w:rsidRPr="008E511A">
              <w:t>will</w:t>
            </w:r>
            <w:r w:rsidRPr="008E511A">
              <w:t xml:space="preserve"> receive an email notification informing </w:t>
            </w:r>
            <w:r w:rsidR="000E0604">
              <w:t>him</w:t>
            </w:r>
            <w:r w:rsidR="00D95E6F">
              <w:t>/her</w:t>
            </w:r>
            <w:r w:rsidR="000E0604" w:rsidRPr="008E511A">
              <w:t xml:space="preserve"> </w:t>
            </w:r>
            <w:r w:rsidR="00B96614">
              <w:t>when the</w:t>
            </w:r>
            <w:r w:rsidRPr="008E511A">
              <w:t xml:space="preserve"> effort form </w:t>
            </w:r>
            <w:r w:rsidR="00B96614">
              <w:t xml:space="preserve">is released and </w:t>
            </w:r>
            <w:r w:rsidRPr="008E511A">
              <w:t xml:space="preserve">ready for </w:t>
            </w:r>
            <w:r w:rsidR="000E0604">
              <w:t>his</w:t>
            </w:r>
            <w:r w:rsidR="00D95E6F">
              <w:t>/her</w:t>
            </w:r>
            <w:r w:rsidR="000E0604" w:rsidRPr="008E511A">
              <w:t xml:space="preserve"> </w:t>
            </w:r>
            <w:r w:rsidRPr="008E511A">
              <w:t>review and certification.</w:t>
            </w:r>
          </w:p>
        </w:tc>
      </w:tr>
      <w:tr w:rsidR="008E511A" w:rsidRPr="008E511A" w:rsidTr="00B96614">
        <w:trPr>
          <w:trHeight w:val="6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1A" w:rsidRPr="008E511A" w:rsidRDefault="00B96614" w:rsidP="00B96614">
            <w:r>
              <w:t xml:space="preserve">Certification (30 </w:t>
            </w:r>
            <w:r w:rsidR="00E21980">
              <w:t>a</w:t>
            </w:r>
            <w:r w:rsidR="008E511A" w:rsidRPr="008E511A">
              <w:t>fter Release</w:t>
            </w:r>
            <w:r>
              <w:t>)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11A" w:rsidRPr="008E511A" w:rsidRDefault="008E511A" w:rsidP="00B96614">
            <w:r w:rsidRPr="008E511A">
              <w:t xml:space="preserve">The </w:t>
            </w:r>
            <w:r w:rsidRPr="008E511A">
              <w:rPr>
                <w:i/>
              </w:rPr>
              <w:t xml:space="preserve">PI </w:t>
            </w:r>
            <w:r w:rsidR="00B96614">
              <w:rPr>
                <w:i/>
              </w:rPr>
              <w:t>has 30 days to review and</w:t>
            </w:r>
            <w:r w:rsidRPr="008E511A">
              <w:t xml:space="preserve"> </w:t>
            </w:r>
            <w:r w:rsidRPr="007C1B34">
              <w:rPr>
                <w:i/>
              </w:rPr>
              <w:t>cert</w:t>
            </w:r>
            <w:r w:rsidR="00B96614" w:rsidRPr="007C1B34">
              <w:rPr>
                <w:i/>
              </w:rPr>
              <w:t>ify</w:t>
            </w:r>
            <w:r w:rsidR="00B96614">
              <w:t xml:space="preserve"> effort forms.  During this time, if there are any corrections to the payroll (reallocatio</w:t>
            </w:r>
            <w:r w:rsidR="00E21980">
              <w:t>ns), the PI must work with the b</w:t>
            </w:r>
            <w:r w:rsidR="00B96614">
              <w:t>usiness office to make the necessary changes before certification can take place</w:t>
            </w:r>
            <w:r w:rsidR="00E21980">
              <w:t>.</w:t>
            </w:r>
          </w:p>
        </w:tc>
      </w:tr>
      <w:tr w:rsidR="008E511A" w:rsidRPr="008E511A" w:rsidTr="00B96614">
        <w:trPr>
          <w:trHeight w:val="104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1A" w:rsidRPr="008E511A" w:rsidRDefault="00B96614" w:rsidP="00B96614">
            <w:r>
              <w:t>Re-Certification (30 days after certification)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1A" w:rsidRPr="008E511A" w:rsidRDefault="0043099C" w:rsidP="00E21980">
            <w:r w:rsidRPr="0043099C">
              <w:t xml:space="preserve">Certifications will automatically be re-opened and need to be re-certified by the PI if a payroll salary </w:t>
            </w:r>
            <w:r>
              <w:t xml:space="preserve">reallocation </w:t>
            </w:r>
            <w:r w:rsidRPr="0043099C">
              <w:t xml:space="preserve">is posted to a sponsored award after the </w:t>
            </w:r>
            <w:r>
              <w:t>effort form</w:t>
            </w:r>
            <w:r w:rsidRPr="0043099C">
              <w:t xml:space="preserve"> has been signed and the </w:t>
            </w:r>
            <w:r>
              <w:t>correction creates</w:t>
            </w:r>
            <w:r w:rsidRPr="0043099C">
              <w:t xml:space="preserve"> a variance above </w:t>
            </w:r>
            <w:r w:rsidR="00E21980">
              <w:t>5%</w:t>
            </w:r>
            <w:r>
              <w:t xml:space="preserve">.  Recertification </w:t>
            </w:r>
            <w:r w:rsidRPr="00B96614">
              <w:t>should</w:t>
            </w:r>
            <w:r w:rsidR="00B96614" w:rsidRPr="00B96614">
              <w:t xml:space="preserve"> be </w:t>
            </w:r>
            <w:r>
              <w:t xml:space="preserve">completed </w:t>
            </w:r>
            <w:r w:rsidR="00B96614" w:rsidRPr="00B96614">
              <w:rPr>
                <w:u w:val="single"/>
              </w:rPr>
              <w:t xml:space="preserve">within </w:t>
            </w:r>
            <w:r>
              <w:rPr>
                <w:u w:val="single"/>
              </w:rPr>
              <w:t xml:space="preserve">30 </w:t>
            </w:r>
            <w:r w:rsidR="00B96614" w:rsidRPr="00B96614">
              <w:rPr>
                <w:u w:val="single"/>
              </w:rPr>
              <w:t>days</w:t>
            </w:r>
            <w:r w:rsidR="00B96614" w:rsidRPr="00B96614">
              <w:t xml:space="preserve"> </w:t>
            </w:r>
            <w:r>
              <w:t>after the e-mail is sent indicating that the effort form is open for re-certification</w:t>
            </w:r>
            <w:r w:rsidR="00B96614">
              <w:t>.</w:t>
            </w:r>
            <w:r w:rsidR="00E21980">
              <w:t xml:space="preserve"> Recertification done </w:t>
            </w:r>
            <w:r w:rsidR="00E21980" w:rsidRPr="00E21980">
              <w:rPr>
                <w:u w:val="single"/>
              </w:rPr>
              <w:t>after 30 days</w:t>
            </w:r>
            <w:r w:rsidR="00E21980">
              <w:t xml:space="preserve"> requires appropriate justification.</w:t>
            </w:r>
          </w:p>
        </w:tc>
      </w:tr>
      <w:tr w:rsidR="00B96614" w:rsidRPr="008E511A" w:rsidTr="00B96614">
        <w:trPr>
          <w:trHeight w:val="104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14" w:rsidRPr="008E511A" w:rsidRDefault="00B96614" w:rsidP="00B96614">
            <w:r>
              <w:t>Reminder (30</w:t>
            </w:r>
            <w:r w:rsidRPr="008E511A">
              <w:t xml:space="preserve"> Days After </w:t>
            </w:r>
            <w:r>
              <w:t>certification)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14" w:rsidRPr="008E511A" w:rsidRDefault="00B96614" w:rsidP="000E0604">
            <w:r w:rsidRPr="008E511A">
              <w:t xml:space="preserve">The </w:t>
            </w:r>
            <w:r>
              <w:rPr>
                <w:i/>
              </w:rPr>
              <w:t>CA</w:t>
            </w:r>
            <w:r w:rsidRPr="008E511A">
              <w:t xml:space="preserve"> will send reminder notifications to each DBA </w:t>
            </w:r>
            <w:r w:rsidR="000E0604">
              <w:t>who has</w:t>
            </w:r>
            <w:r w:rsidRPr="008E511A">
              <w:t xml:space="preserve"> not completed the pre-review process for a PI, and to the PI who has not completed the certification process. </w:t>
            </w:r>
          </w:p>
        </w:tc>
      </w:tr>
      <w:tr w:rsidR="00B96614" w:rsidRPr="008E511A" w:rsidTr="00B96614">
        <w:trPr>
          <w:trHeight w:val="10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14" w:rsidRPr="008E511A" w:rsidRDefault="00B96614" w:rsidP="00B96614">
            <w:r>
              <w:lastRenderedPageBreak/>
              <w:t xml:space="preserve">Chair Notification (30 </w:t>
            </w:r>
            <w:r w:rsidRPr="008E511A">
              <w:t xml:space="preserve">Days After </w:t>
            </w:r>
            <w:r>
              <w:t>Reminder)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14" w:rsidRPr="008E511A" w:rsidRDefault="00B96614" w:rsidP="00B96614">
            <w:r w:rsidRPr="008E511A">
              <w:t xml:space="preserve">The </w:t>
            </w:r>
            <w:r>
              <w:rPr>
                <w:i/>
              </w:rPr>
              <w:t>Director of Contracts and Grants</w:t>
            </w:r>
            <w:r w:rsidRPr="008E511A">
              <w:t xml:space="preserve"> will send an email to the Department Chair/Dean notifying them of the PIs in their department, school, or college who have not certified their effort forms. </w:t>
            </w:r>
          </w:p>
        </w:tc>
      </w:tr>
      <w:tr w:rsidR="00B96614" w:rsidRPr="008E511A" w:rsidTr="00B96614">
        <w:trPr>
          <w:trHeight w:val="72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14" w:rsidRPr="008E511A" w:rsidRDefault="00B96614" w:rsidP="00B96614">
            <w:r>
              <w:t xml:space="preserve">VP Reminder (30 </w:t>
            </w:r>
            <w:r w:rsidRPr="008E511A">
              <w:t xml:space="preserve">Days After </w:t>
            </w:r>
            <w:r>
              <w:t>the Chair Notification)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14" w:rsidRPr="008E511A" w:rsidRDefault="00B96614" w:rsidP="000E0604">
            <w:r w:rsidRPr="008E511A">
              <w:t xml:space="preserve">The </w:t>
            </w:r>
            <w:r w:rsidRPr="008E511A">
              <w:rPr>
                <w:i/>
              </w:rPr>
              <w:t>Vice President of Research</w:t>
            </w:r>
            <w:r w:rsidRPr="008E511A">
              <w:t xml:space="preserve"> will send an email to the Department Chair/Dean </w:t>
            </w:r>
            <w:r w:rsidR="000E0604">
              <w:t>who</w:t>
            </w:r>
            <w:r w:rsidR="000E0604" w:rsidRPr="008E511A">
              <w:t xml:space="preserve"> </w:t>
            </w:r>
            <w:r w:rsidRPr="008E511A">
              <w:t xml:space="preserve">still </w:t>
            </w:r>
            <w:r w:rsidR="000E0604">
              <w:t>has</w:t>
            </w:r>
            <w:r w:rsidR="000E0604" w:rsidRPr="008E511A">
              <w:t xml:space="preserve"> </w:t>
            </w:r>
            <w:r w:rsidRPr="008E511A">
              <w:t xml:space="preserve">PIs who have not certified their effort forms. </w:t>
            </w:r>
          </w:p>
        </w:tc>
      </w:tr>
    </w:tbl>
    <w:p w:rsidR="00A836D5" w:rsidRDefault="00A836D5" w:rsidP="00B96614"/>
    <w:p w:rsidR="00A836D5" w:rsidRPr="00B96614" w:rsidRDefault="00B96614">
      <w:pPr>
        <w:rPr>
          <w:b/>
        </w:rPr>
      </w:pPr>
      <w:r w:rsidRPr="00B96614">
        <w:rPr>
          <w:b/>
        </w:rPr>
        <w:t>References and Associated Links to</w:t>
      </w:r>
      <w:r>
        <w:rPr>
          <w:b/>
        </w:rPr>
        <w:t xml:space="preserve"> the Effort Guidance</w:t>
      </w:r>
    </w:p>
    <w:p w:rsidR="00B96614" w:rsidRPr="00B96614" w:rsidRDefault="00B96614" w:rsidP="00B96614">
      <w:pPr>
        <w:pStyle w:val="ListParagraph"/>
        <w:numPr>
          <w:ilvl w:val="0"/>
          <w:numId w:val="2"/>
        </w:numPr>
      </w:pPr>
      <w:bookmarkStart w:id="0" w:name="_GoBack"/>
      <w:r w:rsidRPr="00B96614">
        <w:rPr>
          <w:bCs/>
        </w:rPr>
        <w:t>Institutional Base Salary (IBS)</w:t>
      </w:r>
      <w:r>
        <w:rPr>
          <w:bCs/>
        </w:rPr>
        <w:t xml:space="preserve"> </w:t>
      </w:r>
      <w:bookmarkEnd w:id="0"/>
    </w:p>
    <w:p w:rsidR="00A836D5" w:rsidRDefault="00A836D5" w:rsidP="00B96614">
      <w:pPr>
        <w:pStyle w:val="ListParagraph"/>
        <w:numPr>
          <w:ilvl w:val="0"/>
          <w:numId w:val="2"/>
        </w:numPr>
      </w:pPr>
      <w:r>
        <w:t>Salary Cap</w:t>
      </w:r>
      <w:r w:rsidR="00566CF0">
        <w:t xml:space="preserve"> Limitation for DHHS award including NIH</w:t>
      </w:r>
    </w:p>
    <w:p w:rsidR="00A836D5" w:rsidRDefault="00A836D5" w:rsidP="00A836D5">
      <w:pPr>
        <w:pStyle w:val="ListParagraph"/>
        <w:numPr>
          <w:ilvl w:val="0"/>
          <w:numId w:val="2"/>
        </w:numPr>
      </w:pPr>
      <w:r>
        <w:t>Cost Sharing Policy</w:t>
      </w:r>
    </w:p>
    <w:p w:rsidR="00A836D5" w:rsidRDefault="00A836D5" w:rsidP="00A836D5">
      <w:pPr>
        <w:pStyle w:val="ListParagraph"/>
        <w:numPr>
          <w:ilvl w:val="0"/>
          <w:numId w:val="2"/>
        </w:numPr>
      </w:pPr>
      <w:r>
        <w:t>Cost Transfer Policy</w:t>
      </w:r>
    </w:p>
    <w:p w:rsidR="00A836D5" w:rsidRDefault="00B96614" w:rsidP="00A836D5">
      <w:pPr>
        <w:pStyle w:val="ListParagraph"/>
        <w:numPr>
          <w:ilvl w:val="0"/>
          <w:numId w:val="2"/>
        </w:numPr>
      </w:pPr>
      <w:r>
        <w:t>MAXIMUS – Effort Reporting System</w:t>
      </w:r>
    </w:p>
    <w:sectPr w:rsidR="00A836D5" w:rsidSect="00A836D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CBA"/>
    <w:multiLevelType w:val="hybridMultilevel"/>
    <w:tmpl w:val="4AE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56F6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69FB08A6"/>
    <w:multiLevelType w:val="hybridMultilevel"/>
    <w:tmpl w:val="0462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E0"/>
    <w:rsid w:val="00053CF8"/>
    <w:rsid w:val="00060759"/>
    <w:rsid w:val="000E0604"/>
    <w:rsid w:val="00205094"/>
    <w:rsid w:val="003706D6"/>
    <w:rsid w:val="003F70A4"/>
    <w:rsid w:val="0043099C"/>
    <w:rsid w:val="00452C88"/>
    <w:rsid w:val="00566CF0"/>
    <w:rsid w:val="00662D92"/>
    <w:rsid w:val="007C1B34"/>
    <w:rsid w:val="007C4B9C"/>
    <w:rsid w:val="0085398B"/>
    <w:rsid w:val="00874D8A"/>
    <w:rsid w:val="008E511A"/>
    <w:rsid w:val="00A836D5"/>
    <w:rsid w:val="00B67DD3"/>
    <w:rsid w:val="00B96614"/>
    <w:rsid w:val="00CA1339"/>
    <w:rsid w:val="00D16BC3"/>
    <w:rsid w:val="00D614E0"/>
    <w:rsid w:val="00D95E6F"/>
    <w:rsid w:val="00DB1BAA"/>
    <w:rsid w:val="00E2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560E964-F55E-49C1-9C25-A3AC3D8D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E0"/>
  </w:style>
  <w:style w:type="paragraph" w:styleId="Heading1">
    <w:name w:val="heading 1"/>
    <w:basedOn w:val="Normal"/>
    <w:next w:val="Normal"/>
    <w:link w:val="Heading1Char"/>
    <w:uiPriority w:val="9"/>
    <w:qFormat/>
    <w:rsid w:val="00D614E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E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E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E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E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E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E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E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E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Title"/>
    <w:qFormat/>
    <w:rsid w:val="0085398B"/>
    <w:rPr>
      <w:rFonts w:ascii="Arial" w:hAnsi="Arial" w:cs="Arial"/>
      <w:color w:val="44546A" w:themeColor="text2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8539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614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4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4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4E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4E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4E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4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4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614E0"/>
    <w:rPr>
      <w:color w:val="0000FF"/>
      <w:u w:val="single"/>
    </w:rPr>
  </w:style>
  <w:style w:type="table" w:styleId="TableGrid">
    <w:name w:val="Table Grid"/>
    <w:basedOn w:val="TableNormal"/>
    <w:uiPriority w:val="39"/>
    <w:rsid w:val="008E5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8E51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836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60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60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Torbor, DeSandra</dc:creator>
  <cp:keywords/>
  <dc:description/>
  <cp:lastModifiedBy>Torbor, DeSandra</cp:lastModifiedBy>
  <cp:revision>3</cp:revision>
  <dcterms:created xsi:type="dcterms:W3CDTF">2016-08-29T16:43:00Z</dcterms:created>
  <dcterms:modified xsi:type="dcterms:W3CDTF">2016-08-29T20:28:00Z</dcterms:modified>
</cp:coreProperties>
</file>