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CA26" w14:textId="1DCD851A" w:rsidR="00FB39FA" w:rsidRPr="00AB194E" w:rsidRDefault="008F2782" w:rsidP="005B4C52">
      <w:pPr>
        <w:widowControl w:val="0"/>
        <w:autoSpaceDE w:val="0"/>
        <w:autoSpaceDN w:val="0"/>
        <w:adjustRightInd w:val="0"/>
        <w:ind w:left="420" w:hanging="420"/>
        <w:rPr>
          <w:rFonts w:asciiTheme="minorHAnsi" w:hAnsiTheme="minorHAnsi" w:cstheme="minorHAnsi"/>
          <w:bCs/>
          <w:szCs w:val="22"/>
        </w:rPr>
      </w:pPr>
      <w:r w:rsidRPr="00AB194E">
        <w:rPr>
          <w:rFonts w:asciiTheme="minorHAnsi" w:hAnsiTheme="minorHAnsi" w:cstheme="minorHAnsi"/>
          <w:bCs/>
          <w:szCs w:val="22"/>
        </w:rPr>
        <w:t>SECTION 2</w:t>
      </w:r>
      <w:r w:rsidR="00FB39FA" w:rsidRPr="00AB194E">
        <w:rPr>
          <w:rFonts w:asciiTheme="minorHAnsi" w:hAnsiTheme="minorHAnsi" w:cstheme="minorHAnsi"/>
          <w:bCs/>
          <w:szCs w:val="22"/>
        </w:rPr>
        <w:t>8 0528</w:t>
      </w:r>
      <w:r w:rsidR="005B4C52" w:rsidRPr="00AB194E">
        <w:rPr>
          <w:rFonts w:asciiTheme="minorHAnsi" w:hAnsiTheme="minorHAnsi" w:cstheme="minorHAnsi"/>
          <w:bCs/>
          <w:szCs w:val="22"/>
        </w:rPr>
        <w:t xml:space="preserve"> - </w:t>
      </w:r>
      <w:r w:rsidR="00FB39FA" w:rsidRPr="00AB194E">
        <w:rPr>
          <w:rFonts w:asciiTheme="minorHAnsi" w:hAnsiTheme="minorHAnsi" w:cstheme="minorHAnsi"/>
          <w:bCs/>
          <w:szCs w:val="22"/>
        </w:rPr>
        <w:t>PATHWAYS FOR ELECTRONIC SAFETY AND SECURITY</w:t>
      </w:r>
    </w:p>
    <w:p w14:paraId="412EFA9E" w14:textId="77777777" w:rsidR="00EA042A" w:rsidRPr="00E80A70" w:rsidRDefault="00EA042A" w:rsidP="00EA042A">
      <w:pPr>
        <w:suppressAutoHyphens/>
        <w:spacing w:before="120" w:after="120"/>
        <w:jc w:val="both"/>
        <w:rPr>
          <w:rFonts w:cs="Calibri"/>
          <w:vanish/>
          <w:color w:val="0000FF"/>
          <w:szCs w:val="20"/>
        </w:rPr>
      </w:pPr>
      <w:bookmarkStart w:id="0" w:name="_Hlk14437444"/>
      <w:bookmarkStart w:id="1" w:name="_Hlk47467515"/>
      <w:r w:rsidRPr="00E80A70">
        <w:rPr>
          <w:rFonts w:asciiTheme="minorHAnsi" w:hAnsiTheme="minorHAnsi" w:cstheme="minorHAnsi"/>
          <w:vanish/>
          <w:color w:val="0000FF"/>
          <w:szCs w:val="22"/>
        </w:rPr>
        <w:t>These specifications provide basic minimum criteria to be met in preparing the final specifications for this Section, which is the responsibility of the Designer. Revise this Section by deleting and inserting text to meet Project-specific requirements.</w:t>
      </w:r>
    </w:p>
    <w:p w14:paraId="42514C80" w14:textId="73B323C6" w:rsidR="00EA042A" w:rsidRPr="00E80A70" w:rsidRDefault="00EA042A" w:rsidP="00EA042A">
      <w:pPr>
        <w:suppressAutoHyphens/>
        <w:spacing w:before="120" w:after="120"/>
        <w:jc w:val="both"/>
        <w:rPr>
          <w:rFonts w:cs="Calibri"/>
          <w:vanish/>
          <w:color w:val="0000FF"/>
          <w:szCs w:val="20"/>
        </w:rPr>
      </w:pPr>
      <w:r w:rsidRPr="00E80A70">
        <w:rPr>
          <w:rFonts w:asciiTheme="minorHAnsi" w:hAnsiTheme="minorHAnsi" w:cstheme="minorHAnsi"/>
          <w:vanish/>
          <w:color w:val="0000FF"/>
          <w:szCs w:val="22"/>
        </w:rPr>
        <w:t>Maintain Section f</w:t>
      </w:r>
      <w:r w:rsidR="008B3A02">
        <w:rPr>
          <w:rFonts w:asciiTheme="minorHAnsi" w:hAnsiTheme="minorHAnsi" w:cstheme="minorHAnsi"/>
          <w:vanish/>
          <w:color w:val="0000FF"/>
          <w:szCs w:val="22"/>
        </w:rPr>
        <w:t>ormat, including the UH Master S</w:t>
      </w:r>
      <w:bookmarkStart w:id="2" w:name="_GoBack"/>
      <w:bookmarkEnd w:id="2"/>
      <w:r w:rsidRPr="00E80A70">
        <w:rPr>
          <w:rFonts w:asciiTheme="minorHAnsi" w:hAnsiTheme="minorHAnsi" w:cstheme="minorHAnsi"/>
          <w:vanish/>
          <w:color w:val="0000FF"/>
          <w:szCs w:val="22"/>
        </w:rPr>
        <w:t xml:space="preserve">pec designation and version date in bold in the center columns in the header and footer. Complete the </w:t>
      </w:r>
      <w:r w:rsidR="008B3A02">
        <w:rPr>
          <w:rFonts w:asciiTheme="minorHAnsi" w:hAnsiTheme="minorHAnsi" w:cstheme="minorHAnsi"/>
          <w:vanish/>
          <w:color w:val="0000FF"/>
          <w:szCs w:val="22"/>
        </w:rPr>
        <w:t>header and footer with Project i</w:t>
      </w:r>
      <w:r w:rsidRPr="00E80A70">
        <w:rPr>
          <w:rFonts w:asciiTheme="minorHAnsi" w:hAnsiTheme="minorHAnsi" w:cstheme="minorHAnsi"/>
          <w:vanish/>
          <w:color w:val="0000FF"/>
          <w:szCs w:val="22"/>
        </w:rPr>
        <w:t>nformation.</w:t>
      </w:r>
    </w:p>
    <w:p w14:paraId="43F0A0D1" w14:textId="77777777" w:rsidR="00EA042A" w:rsidRPr="00E80A70" w:rsidRDefault="00EA042A" w:rsidP="00EA042A">
      <w:pPr>
        <w:suppressAutoHyphens/>
        <w:spacing w:before="120" w:after="120"/>
        <w:rPr>
          <w:rFonts w:cs="Calibri"/>
          <w:vanish/>
          <w:color w:val="0000FF"/>
          <w:szCs w:val="20"/>
        </w:rPr>
      </w:pPr>
      <w:r w:rsidRPr="00E80A70">
        <w:rPr>
          <w:rFonts w:cs="Calibri"/>
          <w:vanish/>
          <w:color w:val="0000FF"/>
          <w:szCs w:val="20"/>
        </w:rPr>
        <w:t xml:space="preserve">Designer is required to adhere to </w:t>
      </w:r>
      <w:r w:rsidRPr="00E80A70">
        <w:rPr>
          <w:rFonts w:asciiTheme="minorHAnsi" w:hAnsiTheme="minorHAnsi" w:cstheme="minorHAnsi"/>
          <w:vanish/>
          <w:color w:val="0000FF"/>
          <w:szCs w:val="22"/>
        </w:rPr>
        <w:t>the University’s “Electronic Access Control Design Guide” and “Network Infrastructure Design Standards” available in Owner’s Design Guidelines on the Facilities Planning and Construction web site</w:t>
      </w:r>
      <w:r w:rsidRPr="00E80A70">
        <w:rPr>
          <w:rFonts w:cs="Calibri"/>
          <w:vanish/>
          <w:color w:val="0000FF"/>
          <w:szCs w:val="20"/>
        </w:rPr>
        <w:t>.</w:t>
      </w:r>
    </w:p>
    <w:p w14:paraId="0156555C" w14:textId="77777777" w:rsidR="00EA042A" w:rsidRPr="00E80A70" w:rsidRDefault="00EA042A" w:rsidP="00EA042A">
      <w:pPr>
        <w:suppressAutoHyphens/>
        <w:spacing w:before="120" w:after="120"/>
        <w:rPr>
          <w:rFonts w:cs="Calibri"/>
          <w:vanish/>
          <w:color w:val="0000FF"/>
          <w:szCs w:val="20"/>
        </w:rPr>
      </w:pPr>
      <w:r w:rsidRPr="00E80A70">
        <w:rPr>
          <w:rFonts w:cs="Calibri"/>
          <w:vanish/>
          <w:color w:val="0000FF"/>
          <w:szCs w:val="22"/>
        </w:rPr>
        <w:t>This Section uses the term "Architect" or “Engineer.” Change this term to match that used to identify the design professional as defined in the General and Supplementary Conditions.</w:t>
      </w:r>
    </w:p>
    <w:p w14:paraId="68155F52" w14:textId="77777777" w:rsidR="00EA042A" w:rsidRPr="00E80A70" w:rsidRDefault="00EA042A" w:rsidP="00EA042A">
      <w:pPr>
        <w:suppressAutoHyphens/>
        <w:spacing w:before="120" w:after="120"/>
        <w:jc w:val="both"/>
        <w:rPr>
          <w:rFonts w:cs="Calibri"/>
          <w:vanish/>
          <w:color w:val="0000FF"/>
          <w:szCs w:val="20"/>
        </w:rPr>
      </w:pPr>
      <w:r w:rsidRPr="00E80A70">
        <w:rPr>
          <w:rFonts w:cs="Calibri"/>
          <w:vanish/>
          <w:color w:val="0000FF"/>
          <w:szCs w:val="20"/>
        </w:rPr>
        <w:t>Verify that Section titles referenced in this Section are correct for this Project's Specifications; Section titles may have changed.</w:t>
      </w:r>
    </w:p>
    <w:p w14:paraId="16F6AFC6" w14:textId="77777777" w:rsidR="00EA042A" w:rsidRPr="00E80A70" w:rsidRDefault="00EA042A" w:rsidP="00EA042A">
      <w:pPr>
        <w:suppressAutoHyphens/>
        <w:spacing w:before="120" w:after="120"/>
        <w:jc w:val="both"/>
        <w:rPr>
          <w:rFonts w:cs="Calibri"/>
          <w:vanish/>
          <w:color w:val="0000FF"/>
          <w:szCs w:val="20"/>
        </w:rPr>
      </w:pPr>
      <w:r w:rsidRPr="00E80A70">
        <w:rPr>
          <w:rFonts w:cs="Calibri"/>
          <w:vanish/>
          <w:color w:val="0000FF"/>
          <w:szCs w:val="20"/>
        </w:rPr>
        <w:t>Delete hidden text after this Section has been edited for the Project.</w:t>
      </w:r>
    </w:p>
    <w:bookmarkEnd w:id="0"/>
    <w:bookmarkEnd w:id="1"/>
    <w:p w14:paraId="136028F3" w14:textId="10C1FBD9" w:rsidR="008C1037" w:rsidRDefault="008C1037" w:rsidP="008C1037">
      <w:pPr>
        <w:pStyle w:val="PRT"/>
      </w:pPr>
      <w:r>
        <w:t>GENERAL</w:t>
      </w:r>
    </w:p>
    <w:p w14:paraId="4F4A40E4" w14:textId="77777777" w:rsidR="00401742" w:rsidRPr="00AB194E" w:rsidRDefault="00401742" w:rsidP="000845B0">
      <w:pPr>
        <w:pStyle w:val="ART"/>
      </w:pPr>
      <w:bookmarkStart w:id="3" w:name="_Hlk47467541"/>
      <w:r w:rsidRPr="00AB194E">
        <w:t>RELATED DOCUMENTS</w:t>
      </w:r>
    </w:p>
    <w:p w14:paraId="4A870CF6" w14:textId="3A09214B" w:rsidR="00401742" w:rsidRPr="00AB194E" w:rsidRDefault="00401742" w:rsidP="000845B0">
      <w:pPr>
        <w:pStyle w:val="PR1"/>
      </w:pPr>
      <w:bookmarkStart w:id="4" w:name="_Hlk47467550"/>
      <w:bookmarkEnd w:id="3"/>
      <w:r w:rsidRPr="00AB194E">
        <w:t>Drawings and General Provisions of the Contract, including General and Supplementary Conditions and Division 01 Specification sections, apply to work of this Section.</w:t>
      </w:r>
    </w:p>
    <w:p w14:paraId="0B4F119E" w14:textId="5017159C" w:rsidR="00401742" w:rsidRPr="00AB194E" w:rsidRDefault="00401742" w:rsidP="000845B0">
      <w:pPr>
        <w:pStyle w:val="PR1"/>
      </w:pPr>
      <w:bookmarkStart w:id="5" w:name="_Hlk44440387"/>
      <w:r w:rsidRPr="00AB194E">
        <w:t>The Contractor's attention is specifically directed, but not limited, to the following documents for additional requirements:</w:t>
      </w:r>
      <w:bookmarkEnd w:id="5"/>
    </w:p>
    <w:p w14:paraId="3A44613B" w14:textId="77777777" w:rsidR="00401742" w:rsidRPr="00AB194E" w:rsidRDefault="00401742" w:rsidP="000845B0">
      <w:pPr>
        <w:pStyle w:val="PR2"/>
      </w:pPr>
      <w:bookmarkStart w:id="6" w:name="_Hlk44440400"/>
      <w:bookmarkStart w:id="7" w:name="_Hlk47467567"/>
      <w:bookmarkEnd w:id="4"/>
      <w:r w:rsidRPr="00AB194E">
        <w:t xml:space="preserve">The current version of the </w:t>
      </w:r>
      <w:r w:rsidRPr="00AB194E">
        <w:rPr>
          <w:i/>
        </w:rPr>
        <w:t>Uniform General Conditions for Construction Contracts</w:t>
      </w:r>
      <w:r w:rsidRPr="00AB194E">
        <w:t>, State of Texas, available on the web site of the Texas Facilities Commission.</w:t>
      </w:r>
      <w:bookmarkEnd w:id="6"/>
    </w:p>
    <w:p w14:paraId="0E41539C" w14:textId="5D4DB508" w:rsidR="005B4C52" w:rsidRPr="00AB194E" w:rsidRDefault="00401742" w:rsidP="000845B0">
      <w:pPr>
        <w:pStyle w:val="PR2"/>
        <w:rPr>
          <w:bCs/>
        </w:rPr>
      </w:pPr>
      <w:bookmarkStart w:id="8" w:name="_Hlk44440414"/>
      <w:bookmarkEnd w:id="7"/>
      <w:r w:rsidRPr="00AB194E">
        <w:t>The University of Houston’s Supplemental General Conditions and Special Conditions for Construction.</w:t>
      </w:r>
      <w:bookmarkEnd w:id="8"/>
    </w:p>
    <w:p w14:paraId="5AE5B55B" w14:textId="0C49C339" w:rsidR="00B26B07" w:rsidRPr="00AB194E" w:rsidRDefault="00B26B07" w:rsidP="000845B0">
      <w:pPr>
        <w:pStyle w:val="ART"/>
      </w:pPr>
      <w:r w:rsidRPr="00AB194E">
        <w:t>SECTION INCLUDES</w:t>
      </w:r>
    </w:p>
    <w:p w14:paraId="396B3847" w14:textId="307062CB" w:rsidR="00B26B07" w:rsidRPr="00AB194E" w:rsidRDefault="00B26B07" w:rsidP="000845B0">
      <w:pPr>
        <w:pStyle w:val="PR1"/>
      </w:pPr>
      <w:r w:rsidRPr="00AB194E">
        <w:t>Interior communications pathways and supports.</w:t>
      </w:r>
    </w:p>
    <w:p w14:paraId="615ADBED" w14:textId="628AC00A" w:rsidR="00B26B07" w:rsidRPr="00AB194E" w:rsidRDefault="00B26B07" w:rsidP="000845B0">
      <w:pPr>
        <w:pStyle w:val="PR1"/>
      </w:pPr>
      <w:r w:rsidRPr="00AB194E">
        <w:t>Outlets and conduit runs.</w:t>
      </w:r>
    </w:p>
    <w:p w14:paraId="12D7A1E3" w14:textId="04D31244" w:rsidR="00B26B07" w:rsidRPr="00AB194E" w:rsidRDefault="00B26B07" w:rsidP="000845B0">
      <w:pPr>
        <w:pStyle w:val="PR1"/>
      </w:pPr>
      <w:r w:rsidRPr="00AB194E">
        <w:t>Grounding and bonding of pathways.</w:t>
      </w:r>
    </w:p>
    <w:p w14:paraId="756A48DE" w14:textId="7FF6259B" w:rsidR="00B26B07" w:rsidRPr="00AB194E" w:rsidRDefault="00B26B07" w:rsidP="000845B0">
      <w:pPr>
        <w:pStyle w:val="PR1"/>
      </w:pPr>
      <w:r w:rsidRPr="00AB194E">
        <w:t>Pathway fire stopping requirements.</w:t>
      </w:r>
    </w:p>
    <w:p w14:paraId="4B7EB7B3" w14:textId="11E71343" w:rsidR="00FB39FA" w:rsidRPr="00AB194E" w:rsidRDefault="00FB39FA" w:rsidP="000845B0">
      <w:pPr>
        <w:pStyle w:val="ART"/>
      </w:pPr>
      <w:r w:rsidRPr="00AB194E">
        <w:lastRenderedPageBreak/>
        <w:t>SUMMARY</w:t>
      </w:r>
    </w:p>
    <w:p w14:paraId="36905A27" w14:textId="02D378AC" w:rsidR="00FB39FA" w:rsidRPr="00AB194E" w:rsidRDefault="00FB39FA" w:rsidP="000845B0">
      <w:pPr>
        <w:pStyle w:val="PR1"/>
      </w:pPr>
      <w:r w:rsidRPr="00AB194E">
        <w:t xml:space="preserve">This Section specifies the requirements for the </w:t>
      </w:r>
      <w:r w:rsidR="00665386">
        <w:t>p</w:t>
      </w:r>
      <w:r w:rsidRPr="00AB194E">
        <w:t xml:space="preserve">athways for </w:t>
      </w:r>
      <w:r w:rsidR="00665386">
        <w:t xml:space="preserve">electronic safety and </w:t>
      </w:r>
      <w:r w:rsidR="000845B0">
        <w:t>s</w:t>
      </w:r>
      <w:r w:rsidR="002161C5">
        <w:t>ecurity</w:t>
      </w:r>
      <w:r w:rsidR="002161C5" w:rsidRPr="00AB194E">
        <w:t xml:space="preserve"> </w:t>
      </w:r>
      <w:r w:rsidR="000845B0">
        <w:t>s</w:t>
      </w:r>
      <w:r w:rsidRPr="00AB194E">
        <w:t>ystems</w:t>
      </w:r>
      <w:r w:rsidR="00285C61">
        <w:t>.</w:t>
      </w:r>
    </w:p>
    <w:p w14:paraId="446FA1A4" w14:textId="77590BCA" w:rsidR="00FB39FA" w:rsidRPr="00AB194E" w:rsidRDefault="00FB39FA" w:rsidP="000845B0">
      <w:pPr>
        <w:pStyle w:val="PR1"/>
      </w:pPr>
      <w:r w:rsidRPr="00AB194E">
        <w:t xml:space="preserve">Work furnished and installed by the Contractor as specified in this </w:t>
      </w:r>
      <w:r w:rsidR="00401742">
        <w:t>S</w:t>
      </w:r>
      <w:r w:rsidR="00401742" w:rsidRPr="00AB194E">
        <w:t xml:space="preserve">ection </w:t>
      </w:r>
      <w:r w:rsidRPr="00AB194E">
        <w:t xml:space="preserve">and as shown in </w:t>
      </w:r>
      <w:r w:rsidR="00FE58DD">
        <w:t>D</w:t>
      </w:r>
      <w:r w:rsidRPr="00AB194E">
        <w:t>rawings includes:</w:t>
      </w:r>
    </w:p>
    <w:p w14:paraId="0998E134" w14:textId="71819433" w:rsidR="00FB39FA" w:rsidRPr="00AB194E" w:rsidRDefault="00FE58DD" w:rsidP="000845B0">
      <w:pPr>
        <w:pStyle w:val="PR2"/>
      </w:pPr>
      <w:r>
        <w:t>P</w:t>
      </w:r>
      <w:r w:rsidR="00542531" w:rsidRPr="00AB194E">
        <w:t xml:space="preserve">roper installation of pathway for </w:t>
      </w:r>
      <w:r w:rsidR="00665386">
        <w:t xml:space="preserve">Electronic </w:t>
      </w:r>
      <w:r w:rsidR="00FB39FA" w:rsidRPr="00AB194E">
        <w:t>Access Control, Intrusion Detection and Surveillance End Devices</w:t>
      </w:r>
      <w:r>
        <w:t>.</w:t>
      </w:r>
    </w:p>
    <w:p w14:paraId="68663C8E" w14:textId="33A7EBD3" w:rsidR="005A550D" w:rsidRDefault="005A550D" w:rsidP="000845B0">
      <w:pPr>
        <w:pStyle w:val="PR2"/>
      </w:pPr>
      <w:r w:rsidRPr="00AB194E">
        <w:t>Procurement and installation of Security-specific hardware related to pathway installation.</w:t>
      </w:r>
    </w:p>
    <w:p w14:paraId="44F5B956" w14:textId="58F46640" w:rsidR="00FB39FA" w:rsidRPr="00D922B0" w:rsidRDefault="00542531" w:rsidP="00D922B0">
      <w:pPr>
        <w:pStyle w:val="PR2"/>
      </w:pPr>
      <w:r w:rsidRPr="00AB194E">
        <w:t>Document</w:t>
      </w:r>
      <w:r w:rsidR="00476572">
        <w:t>ation of pathway for use in As-B</w:t>
      </w:r>
      <w:r w:rsidRPr="00AB194E">
        <w:t xml:space="preserve">uilt </w:t>
      </w:r>
      <w:r w:rsidR="00C97A29">
        <w:t>d</w:t>
      </w:r>
      <w:r w:rsidRPr="00AB194E">
        <w:t>rawings</w:t>
      </w:r>
      <w:r w:rsidR="00D922B0">
        <w:t>.</w:t>
      </w:r>
    </w:p>
    <w:p w14:paraId="581542AA" w14:textId="1BA49C73" w:rsidR="00FB39FA" w:rsidRPr="00AB194E" w:rsidRDefault="00FB39FA" w:rsidP="008C1037">
      <w:pPr>
        <w:pStyle w:val="PRT"/>
      </w:pPr>
      <w:r w:rsidRPr="00AB194E">
        <w:t xml:space="preserve"> PRODUCTS</w:t>
      </w:r>
    </w:p>
    <w:p w14:paraId="42AB6892" w14:textId="6A206DD2" w:rsidR="00FB39FA" w:rsidRPr="00AB194E" w:rsidRDefault="00FB39FA" w:rsidP="00457C86">
      <w:pPr>
        <w:pStyle w:val="ART"/>
      </w:pPr>
      <w:r w:rsidRPr="00AB194E">
        <w:t>GENERAL</w:t>
      </w:r>
    </w:p>
    <w:p w14:paraId="49629C73" w14:textId="32699F5C" w:rsidR="00542531" w:rsidRPr="00FE58DD" w:rsidRDefault="005A550D" w:rsidP="00457C86">
      <w:pPr>
        <w:pStyle w:val="PR1"/>
      </w:pPr>
      <w:r>
        <w:t>Install c</w:t>
      </w:r>
      <w:r w:rsidR="00B264C2" w:rsidRPr="00FE58DD">
        <w:t xml:space="preserve">omposite </w:t>
      </w:r>
      <w:r w:rsidR="00DE15C2">
        <w:t>Electronic A</w:t>
      </w:r>
      <w:r w:rsidR="00B264C2" w:rsidRPr="00FE58DD">
        <w:t xml:space="preserve">ccess </w:t>
      </w:r>
      <w:r w:rsidR="00DE15C2">
        <w:t>C</w:t>
      </w:r>
      <w:r w:rsidR="00B264C2" w:rsidRPr="00FE58DD">
        <w:t>ontrol cabling</w:t>
      </w:r>
      <w:r w:rsidR="00542531" w:rsidRPr="00FE58DD">
        <w:t xml:space="preserve"> in conduit from </w:t>
      </w:r>
      <w:r w:rsidR="00665386">
        <w:t xml:space="preserve">each </w:t>
      </w:r>
      <w:r w:rsidR="00542531" w:rsidRPr="00FE58DD">
        <w:t xml:space="preserve">door to </w:t>
      </w:r>
      <w:r w:rsidR="00BA2501" w:rsidRPr="008C1037">
        <w:t>S</w:t>
      </w:r>
      <w:r w:rsidR="00542531" w:rsidRPr="00FE58DD">
        <w:t xml:space="preserve">ecurity </w:t>
      </w:r>
      <w:r w:rsidR="00BA2501" w:rsidRPr="008C1037">
        <w:t>R</w:t>
      </w:r>
      <w:r w:rsidR="00542531" w:rsidRPr="00FE58DD">
        <w:t>oom. More than one door may share conduit pathway provid</w:t>
      </w:r>
      <w:r w:rsidR="00665386">
        <w:t>ed</w:t>
      </w:r>
      <w:r w:rsidR="00542531" w:rsidRPr="00FE58DD">
        <w:t xml:space="preserve"> </w:t>
      </w:r>
      <w:r>
        <w:t xml:space="preserve">labeling is clear and </w:t>
      </w:r>
      <w:r w:rsidR="00B264C2" w:rsidRPr="00FE58DD">
        <w:t xml:space="preserve">40 </w:t>
      </w:r>
      <w:r w:rsidR="00CB323F" w:rsidRPr="00FE58DD">
        <w:t xml:space="preserve">percent </w:t>
      </w:r>
      <w:r w:rsidR="00B264C2" w:rsidRPr="00FE58DD">
        <w:t>fill ratios are not exceeded.</w:t>
      </w:r>
    </w:p>
    <w:p w14:paraId="1BCA57A5" w14:textId="191352A2" w:rsidR="00FB39FA" w:rsidRPr="00FE58DD" w:rsidRDefault="00665386" w:rsidP="00457C86">
      <w:pPr>
        <w:pStyle w:val="PR1"/>
      </w:pPr>
      <w:r>
        <w:t>Install</w:t>
      </w:r>
      <w:r w:rsidR="005A550D">
        <w:t xml:space="preserve"> </w:t>
      </w:r>
      <w:r>
        <w:t xml:space="preserve">the </w:t>
      </w:r>
      <w:r w:rsidR="005A550D">
        <w:t>c</w:t>
      </w:r>
      <w:r w:rsidR="00FB39FA" w:rsidRPr="00FE58DD">
        <w:t xml:space="preserve">onduit </w:t>
      </w:r>
      <w:r w:rsidR="00FE58DD" w:rsidRPr="00FE58DD">
        <w:t xml:space="preserve">pathway </w:t>
      </w:r>
      <w:r w:rsidR="00FB39FA" w:rsidRPr="00FE58DD">
        <w:t xml:space="preserve">in the most direct route possible from the </w:t>
      </w:r>
      <w:r>
        <w:t>S</w:t>
      </w:r>
      <w:r w:rsidR="00FB39FA" w:rsidRPr="00FE58DD">
        <w:t xml:space="preserve">ecurity </w:t>
      </w:r>
      <w:r>
        <w:t>R</w:t>
      </w:r>
      <w:r w:rsidR="00FB39FA" w:rsidRPr="00FE58DD">
        <w:t>oom to the device location.</w:t>
      </w:r>
    </w:p>
    <w:p w14:paraId="3C911096" w14:textId="5DF479F2" w:rsidR="00FB39FA" w:rsidRPr="00FE58DD" w:rsidRDefault="005A550D" w:rsidP="00457C86">
      <w:pPr>
        <w:pStyle w:val="PR1"/>
      </w:pPr>
      <w:r>
        <w:t xml:space="preserve">Install pathway for </w:t>
      </w:r>
      <w:r w:rsidR="00FB39FA" w:rsidRPr="00FE58DD">
        <w:t>IP</w:t>
      </w:r>
      <w:r>
        <w:t>-</w:t>
      </w:r>
      <w:r w:rsidR="00FB39FA" w:rsidRPr="00FE58DD">
        <w:t>based cameras or card readers</w:t>
      </w:r>
      <w:r w:rsidR="00B264C2" w:rsidRPr="00FE58DD">
        <w:t xml:space="preserve"> per Section 27 0528 </w:t>
      </w:r>
      <w:r w:rsidR="00401742" w:rsidRPr="00FE58DD">
        <w:t>“</w:t>
      </w:r>
      <w:r w:rsidR="00B264C2" w:rsidRPr="00FE58DD">
        <w:t>Pathways for Communications</w:t>
      </w:r>
      <w:r w:rsidR="00665386">
        <w:t>.</w:t>
      </w:r>
      <w:r w:rsidR="00401742" w:rsidRPr="00FE58DD">
        <w:t>”</w:t>
      </w:r>
    </w:p>
    <w:p w14:paraId="49BB3DF8" w14:textId="06F716A7" w:rsidR="00FB39FA" w:rsidRPr="00FE58DD" w:rsidRDefault="005A550D" w:rsidP="00457C86">
      <w:pPr>
        <w:pStyle w:val="PR1"/>
      </w:pPr>
      <w:r>
        <w:t>Use f</w:t>
      </w:r>
      <w:r w:rsidR="00FB39FA" w:rsidRPr="00FE58DD">
        <w:t xml:space="preserve">actory-manufactured sweeps </w:t>
      </w:r>
      <w:r w:rsidR="00665386">
        <w:t>that</w:t>
      </w:r>
      <w:r w:rsidR="00FB39FA" w:rsidRPr="00FE58DD">
        <w:t xml:space="preserve"> meet ANSI/TIA569 bend radius requirements for all security conduit.</w:t>
      </w:r>
    </w:p>
    <w:p w14:paraId="2738FF2F" w14:textId="54155AE7" w:rsidR="001764EE" w:rsidRDefault="005A550D" w:rsidP="00457C86">
      <w:pPr>
        <w:pStyle w:val="PR1"/>
      </w:pPr>
      <w:r>
        <w:t>L</w:t>
      </w:r>
      <w:r w:rsidR="00FB39FA" w:rsidRPr="00FE58DD">
        <w:t>ocate</w:t>
      </w:r>
      <w:r>
        <w:t xml:space="preserve"> junction boxes</w:t>
      </w:r>
      <w:r w:rsidR="00FB39FA" w:rsidRPr="00FE58DD">
        <w:t xml:space="preserve"> in serviceable space.</w:t>
      </w:r>
    </w:p>
    <w:p w14:paraId="0A7AEE47" w14:textId="3CD15BEA" w:rsidR="00FB39FA" w:rsidRPr="00FE58DD" w:rsidRDefault="00FB39FA" w:rsidP="00457C86">
      <w:pPr>
        <w:pStyle w:val="PR1"/>
      </w:pPr>
      <w:r w:rsidRPr="00FE58DD">
        <w:t>Looping, or “daisy-chaining,” of conduits between outlet boxes is not allowed.</w:t>
      </w:r>
    </w:p>
    <w:p w14:paraId="2913D0DE" w14:textId="4E54ABA3" w:rsidR="00FB39FA" w:rsidRPr="00FE58DD" w:rsidRDefault="00FB39FA" w:rsidP="00457C86">
      <w:pPr>
        <w:pStyle w:val="ART"/>
      </w:pPr>
      <w:r w:rsidRPr="00FE58DD">
        <w:t>CONDUITS AND FITTINGS</w:t>
      </w:r>
    </w:p>
    <w:p w14:paraId="1BDD234E" w14:textId="2C907497" w:rsidR="002161C5" w:rsidRDefault="006C6D4D" w:rsidP="00457C86">
      <w:pPr>
        <w:pStyle w:val="PR1"/>
      </w:pPr>
      <w:r w:rsidRPr="00FE58DD">
        <w:t>Size a</w:t>
      </w:r>
      <w:r w:rsidR="00476572">
        <w:t>ll conduit to allow for 25 percent</w:t>
      </w:r>
      <w:r w:rsidR="002161C5" w:rsidRPr="00FE58DD">
        <w:t xml:space="preserve"> growth in cabling.</w:t>
      </w:r>
    </w:p>
    <w:p w14:paraId="78409B87" w14:textId="61E20473" w:rsidR="00FB39FA" w:rsidRPr="00AB194E" w:rsidRDefault="00A95141" w:rsidP="00457C86">
      <w:pPr>
        <w:pStyle w:val="PR1"/>
      </w:pPr>
      <w:r>
        <w:t>Install</w:t>
      </w:r>
      <w:r w:rsidR="00FB39FA" w:rsidRPr="00AB194E">
        <w:t xml:space="preserve"> plastic bushings </w:t>
      </w:r>
      <w:r>
        <w:t xml:space="preserve">at conduit ends </w:t>
      </w:r>
      <w:r w:rsidR="00FB39FA" w:rsidRPr="00AB194E">
        <w:t xml:space="preserve">before </w:t>
      </w:r>
      <w:r>
        <w:t xml:space="preserve">pulling </w:t>
      </w:r>
      <w:r w:rsidR="00FB39FA" w:rsidRPr="00AB194E">
        <w:t>cable into the conduit.</w:t>
      </w:r>
    </w:p>
    <w:p w14:paraId="619B83CD" w14:textId="68959DA2" w:rsidR="00FB39FA" w:rsidRPr="00AB194E" w:rsidRDefault="00665386" w:rsidP="00457C86">
      <w:pPr>
        <w:pStyle w:val="PR1"/>
      </w:pPr>
      <w:r>
        <w:t>Do not run c</w:t>
      </w:r>
      <w:r w:rsidR="00FB39FA" w:rsidRPr="00AB194E">
        <w:t>onduits next to hot water lines, steam pipes, or other utilities that may present a safety hazard or cause a degradation of system performance.</w:t>
      </w:r>
    </w:p>
    <w:p w14:paraId="261C2FC2" w14:textId="7BD4EBDE" w:rsidR="00FB39FA" w:rsidRPr="00AB194E" w:rsidRDefault="00665386" w:rsidP="00457C86">
      <w:pPr>
        <w:pStyle w:val="PR1"/>
      </w:pPr>
      <w:r>
        <w:t>Locate c</w:t>
      </w:r>
      <w:r w:rsidR="00FB39FA" w:rsidRPr="00AB194E">
        <w:t xml:space="preserve">onduits entering the Security Room </w:t>
      </w:r>
      <w:r>
        <w:t xml:space="preserve">to </w:t>
      </w:r>
      <w:r w:rsidR="00FB39FA" w:rsidRPr="00AB194E">
        <w:t>allow for the most flexibility in the routing and racking of cables.</w:t>
      </w:r>
    </w:p>
    <w:p w14:paraId="2260E89D" w14:textId="395BD212" w:rsidR="00FB39FA" w:rsidRPr="00AB194E" w:rsidRDefault="006C6D4D" w:rsidP="00457C86">
      <w:pPr>
        <w:pStyle w:val="PR1"/>
      </w:pPr>
      <w:r>
        <w:lastRenderedPageBreak/>
        <w:t>Terminate c</w:t>
      </w:r>
      <w:r w:rsidR="00FB39FA" w:rsidRPr="00AB194E">
        <w:t xml:space="preserve">onduits or conduit sleeves entering through the floor of the Security Room </w:t>
      </w:r>
      <w:r w:rsidR="00665386">
        <w:t xml:space="preserve">at </w:t>
      </w:r>
      <w:r w:rsidR="00FB39FA" w:rsidRPr="00AB194E">
        <w:t>four inches above the finished floor.</w:t>
      </w:r>
    </w:p>
    <w:p w14:paraId="7AC89F48" w14:textId="1555CBE6" w:rsidR="00FB39FA" w:rsidRPr="00AB194E" w:rsidRDefault="006C6D4D" w:rsidP="00457C86">
      <w:pPr>
        <w:pStyle w:val="PR1"/>
      </w:pPr>
      <w:r>
        <w:t xml:space="preserve">Bond all </w:t>
      </w:r>
      <w:r w:rsidR="00FB39FA" w:rsidRPr="00AB194E">
        <w:t xml:space="preserve">metallic security conduits entering the Security Room, Equipment Room, or </w:t>
      </w:r>
      <w:r w:rsidR="00FB39FA" w:rsidRPr="006C6D4D">
        <w:t xml:space="preserve">Entrance Facility together, and to the </w:t>
      </w:r>
      <w:r w:rsidR="00665386">
        <w:t>r</w:t>
      </w:r>
      <w:r w:rsidRPr="006C6D4D">
        <w:t>oom</w:t>
      </w:r>
      <w:r w:rsidR="00665386">
        <w:t>’</w:t>
      </w:r>
      <w:r w:rsidRPr="006C6D4D">
        <w:t xml:space="preserve">s </w:t>
      </w:r>
      <w:r w:rsidR="00FB39FA" w:rsidRPr="006C6D4D">
        <w:t>Grounding Busbar with a #6 AWG ground cable.</w:t>
      </w:r>
    </w:p>
    <w:p w14:paraId="7D937B99" w14:textId="6738359C" w:rsidR="00FB39FA" w:rsidRPr="00AB194E" w:rsidRDefault="006C6D4D" w:rsidP="00457C86">
      <w:pPr>
        <w:pStyle w:val="PR1"/>
      </w:pPr>
      <w:r w:rsidRPr="006C6D4D">
        <w:t>Seal a</w:t>
      </w:r>
      <w:r w:rsidR="00FB39FA" w:rsidRPr="006C6D4D">
        <w:t>ll in-use and spare conduits entering the Security Room, Equipment Room, or Entrance Facility to prevent the intrusion of water, gasses, and rodents</w:t>
      </w:r>
      <w:r w:rsidR="00665386">
        <w:t>.</w:t>
      </w:r>
    </w:p>
    <w:p w14:paraId="1DF992E5" w14:textId="726D9702" w:rsidR="00FB39FA" w:rsidRPr="00AB194E" w:rsidRDefault="00A95141" w:rsidP="00457C86">
      <w:pPr>
        <w:pStyle w:val="PR1"/>
      </w:pPr>
      <w:r>
        <w:t>Provide firestopping for a</w:t>
      </w:r>
      <w:r w:rsidR="00FB39FA" w:rsidRPr="00AB194E">
        <w:t>ll conduits and cables that penetrate fire rated walls or floors</w:t>
      </w:r>
      <w:r>
        <w:t>.</w:t>
      </w:r>
      <w:r w:rsidR="00714380" w:rsidRPr="00AB194E">
        <w:t xml:space="preserve"> </w:t>
      </w:r>
      <w:r>
        <w:t>L</w:t>
      </w:r>
      <w:r w:rsidR="00714380" w:rsidRPr="00AB194E">
        <w:t>abel</w:t>
      </w:r>
      <w:r>
        <w:t xml:space="preserve"> each penetration </w:t>
      </w:r>
      <w:r w:rsidR="00714380" w:rsidRPr="00AB194E">
        <w:t xml:space="preserve">with </w:t>
      </w:r>
      <w:r w:rsidR="006F15F0">
        <w:t xml:space="preserve">a </w:t>
      </w:r>
      <w:r w:rsidR="00714380" w:rsidRPr="00AB194E">
        <w:t>UL tag</w:t>
      </w:r>
      <w:r w:rsidR="00D922B0">
        <w:t>.</w:t>
      </w:r>
      <w:r w:rsidR="00665386">
        <w:t xml:space="preserve"> </w:t>
      </w:r>
      <w:r>
        <w:t>Comply with requirements of Section 07 8413 “Penetration Firestopping.”</w:t>
      </w:r>
    </w:p>
    <w:p w14:paraId="323C51FF" w14:textId="714712CC" w:rsidR="00E02A09" w:rsidRPr="00AB194E" w:rsidRDefault="00A95141" w:rsidP="00457C86">
      <w:pPr>
        <w:pStyle w:val="PR1"/>
      </w:pPr>
      <w:r>
        <w:t xml:space="preserve">Install </w:t>
      </w:r>
      <w:r w:rsidR="00FB39FA" w:rsidRPr="00AB194E">
        <w:t xml:space="preserve">pull lines rated at a minimum of 90 kg (200 lb) pulling tension </w:t>
      </w:r>
      <w:r>
        <w:t xml:space="preserve">in </w:t>
      </w:r>
      <w:r w:rsidRPr="00AB194E">
        <w:t>Outside Plant (OSP) conduits</w:t>
      </w:r>
      <w:r>
        <w:t>.</w:t>
      </w:r>
      <w:r w:rsidR="00FB39FA" w:rsidRPr="00AB194E">
        <w:t xml:space="preserve"> </w:t>
      </w:r>
      <w:r>
        <w:t>R</w:t>
      </w:r>
      <w:r w:rsidR="00FB39FA" w:rsidRPr="00AB194E">
        <w:t xml:space="preserve">e-pull </w:t>
      </w:r>
      <w:r>
        <w:t xml:space="preserve">the pull lines </w:t>
      </w:r>
      <w:r w:rsidR="00FB39FA" w:rsidRPr="00AB194E">
        <w:t>each time an additional cable is installed.</w:t>
      </w:r>
    </w:p>
    <w:p w14:paraId="26E644A8" w14:textId="7F21F6DC" w:rsidR="005A550D" w:rsidRDefault="00FB39FA" w:rsidP="00457C86">
      <w:pPr>
        <w:pStyle w:val="PR1"/>
      </w:pPr>
      <w:r w:rsidRPr="00AB194E">
        <w:t xml:space="preserve">Prior to releasing the conduit for the installation of cables, </w:t>
      </w:r>
      <w:r w:rsidR="00A95141">
        <w:t xml:space="preserve">clean </w:t>
      </w:r>
      <w:r w:rsidRPr="00AB194E">
        <w:t>all OSP conduits with a brush pulled through the conduit at least two times in the same direction and swabbed with clean rags until the rag comes out of the conduit clean and dry.</w:t>
      </w:r>
    </w:p>
    <w:p w14:paraId="381A0ECE" w14:textId="60E4F940" w:rsidR="00FB39FA" w:rsidRPr="00AB194E" w:rsidRDefault="005A550D" w:rsidP="00457C86">
      <w:pPr>
        <w:pStyle w:val="ART"/>
      </w:pPr>
      <w:r>
        <w:t>INTERIOR PATHWAYS</w:t>
      </w:r>
    </w:p>
    <w:p w14:paraId="3BBD1342" w14:textId="3CD8E0E3" w:rsidR="00DE15C2" w:rsidRDefault="00FB39FA" w:rsidP="00457C86">
      <w:pPr>
        <w:pStyle w:val="PR1"/>
      </w:pPr>
      <w:r w:rsidRPr="00AB194E">
        <w:t>Pull boxes used with security conduits in interior locations shall be rated NEMA-1.</w:t>
      </w:r>
    </w:p>
    <w:p w14:paraId="180922A3" w14:textId="6ABFDE20" w:rsidR="00714380" w:rsidRPr="00AB194E" w:rsidRDefault="00FB39FA" w:rsidP="00457C86">
      <w:pPr>
        <w:pStyle w:val="PR1"/>
      </w:pPr>
      <w:r w:rsidRPr="00AB194E">
        <w:t>Pull boxes used in damp or wet locations su</w:t>
      </w:r>
      <w:r w:rsidR="00476572">
        <w:t>ch as plumbing chases or out</w:t>
      </w:r>
      <w:r w:rsidRPr="00AB194E">
        <w:t>doors shall be rated NEMA-3R.</w:t>
      </w:r>
    </w:p>
    <w:p w14:paraId="005A9FE1" w14:textId="3E17962B" w:rsidR="00714380" w:rsidRPr="00AB194E" w:rsidRDefault="00A95141" w:rsidP="00457C86">
      <w:pPr>
        <w:pStyle w:val="PR1"/>
      </w:pPr>
      <w:r>
        <w:t>Install p</w:t>
      </w:r>
      <w:r w:rsidR="00FB39FA" w:rsidRPr="00AB194E">
        <w:t>ull boxes in conduit</w:t>
      </w:r>
      <w:r w:rsidR="00714380" w:rsidRPr="00AB194E">
        <w:t xml:space="preserve"> run</w:t>
      </w:r>
      <w:r w:rsidR="00FB39FA" w:rsidRPr="00AB194E">
        <w:t>s at interval</w:t>
      </w:r>
      <w:r>
        <w:t>s</w:t>
      </w:r>
      <w:r w:rsidR="00FB39FA" w:rsidRPr="00AB194E">
        <w:t xml:space="preserve"> no greater than every 100 feet.</w:t>
      </w:r>
    </w:p>
    <w:p w14:paraId="35D92709" w14:textId="0BD5A7A0" w:rsidR="00714380" w:rsidRPr="00AB194E" w:rsidRDefault="00A95141" w:rsidP="00457C86">
      <w:pPr>
        <w:pStyle w:val="PR1"/>
      </w:pPr>
      <w:r>
        <w:t>Install a</w:t>
      </w:r>
      <w:r w:rsidR="00714380" w:rsidRPr="00AB194E">
        <w:t xml:space="preserve">n </w:t>
      </w:r>
      <w:r w:rsidR="00B26B07" w:rsidRPr="00AB194E">
        <w:t xml:space="preserve">appropriately sized </w:t>
      </w:r>
      <w:r w:rsidR="00FB39FA" w:rsidRPr="00AB194E">
        <w:t>pull box whenever there are two 90°sweeps, or a total of 180°of sweeps, in a conduit run.</w:t>
      </w:r>
    </w:p>
    <w:p w14:paraId="5AB6D677" w14:textId="2D596ED0" w:rsidR="00FB39FA" w:rsidRPr="00AB194E" w:rsidRDefault="00FB39FA" w:rsidP="00457C86">
      <w:pPr>
        <w:pStyle w:val="PR1"/>
      </w:pPr>
      <w:r w:rsidRPr="00AB194E">
        <w:t xml:space="preserve">Any deviations from these criteria must have prior </w:t>
      </w:r>
      <w:r w:rsidR="00F87D22">
        <w:t xml:space="preserve">written </w:t>
      </w:r>
      <w:r w:rsidRPr="00AB194E">
        <w:t xml:space="preserve">approval from </w:t>
      </w:r>
      <w:r w:rsidR="007C561C" w:rsidRPr="00C74CC4">
        <w:t>Owner’s</w:t>
      </w:r>
      <w:r w:rsidR="007C561C">
        <w:t xml:space="preserve"> Project Manager</w:t>
      </w:r>
      <w:r w:rsidR="00A95141">
        <w:t xml:space="preserve"> and </w:t>
      </w:r>
      <w:r w:rsidR="00476572">
        <w:t xml:space="preserve">Electronic Access Control </w:t>
      </w:r>
      <w:r w:rsidR="007C561C">
        <w:t>and Campus Safety Representatives</w:t>
      </w:r>
      <w:r w:rsidR="00BA2501">
        <w:t>.</w:t>
      </w:r>
    </w:p>
    <w:p w14:paraId="334E8712" w14:textId="1512A320" w:rsidR="00FB39FA" w:rsidRPr="00AB194E" w:rsidRDefault="00FB39FA" w:rsidP="008C1037">
      <w:pPr>
        <w:pStyle w:val="PRT"/>
      </w:pPr>
      <w:r w:rsidRPr="00AB194E">
        <w:t>EXECUTION</w:t>
      </w:r>
    </w:p>
    <w:p w14:paraId="66A09055" w14:textId="1422AE4A" w:rsidR="00FB39FA" w:rsidRPr="00AB194E" w:rsidRDefault="00FB39FA" w:rsidP="00457C86">
      <w:pPr>
        <w:pStyle w:val="ART"/>
      </w:pPr>
      <w:r w:rsidRPr="00AB194E">
        <w:t>SUMMARY</w:t>
      </w:r>
    </w:p>
    <w:p w14:paraId="38CE0211" w14:textId="08528794" w:rsidR="00FB39FA" w:rsidRPr="00AB194E" w:rsidRDefault="006C6D4D" w:rsidP="00457C86">
      <w:pPr>
        <w:pStyle w:val="PR1"/>
      </w:pPr>
      <w:r>
        <w:t xml:space="preserve">Install </w:t>
      </w:r>
      <w:r w:rsidR="00DE15C2">
        <w:t>composite Electronic</w:t>
      </w:r>
      <w:r>
        <w:t xml:space="preserve"> Access Control</w:t>
      </w:r>
      <w:r w:rsidR="00FB39FA" w:rsidRPr="00AB194E">
        <w:t xml:space="preserve"> cable pathways separate from </w:t>
      </w:r>
      <w:r w:rsidR="00714380" w:rsidRPr="00AB194E">
        <w:t xml:space="preserve">power and </w:t>
      </w:r>
      <w:r w:rsidR="00FB39FA" w:rsidRPr="00AB194E">
        <w:t>IT pathways</w:t>
      </w:r>
      <w:r w:rsidR="00714380" w:rsidRPr="00AB194E">
        <w:t>.</w:t>
      </w:r>
    </w:p>
    <w:p w14:paraId="52322350" w14:textId="4244F3C7" w:rsidR="00FB39FA" w:rsidRDefault="006C6D4D" w:rsidP="00457C86">
      <w:pPr>
        <w:pStyle w:val="PR1"/>
      </w:pPr>
      <w:r>
        <w:t xml:space="preserve">Route </w:t>
      </w:r>
      <w:r w:rsidR="00FB39FA" w:rsidRPr="00AB194E">
        <w:t xml:space="preserve">conduit system inside ceilings, floors, and walls to the greatest extent possible. </w:t>
      </w:r>
      <w:r>
        <w:t xml:space="preserve">Avoid </w:t>
      </w:r>
      <w:r w:rsidR="00DE15C2">
        <w:t xml:space="preserve">installation of </w:t>
      </w:r>
      <w:r>
        <w:t>s</w:t>
      </w:r>
      <w:r w:rsidR="00FB39FA" w:rsidRPr="00AB194E">
        <w:t>urface</w:t>
      </w:r>
      <w:r w:rsidR="00A95141">
        <w:t>-</w:t>
      </w:r>
      <w:r w:rsidR="00FB39FA" w:rsidRPr="00AB194E">
        <w:t>mounted conduit</w:t>
      </w:r>
      <w:r>
        <w:t xml:space="preserve"> wherever possible.</w:t>
      </w:r>
    </w:p>
    <w:p w14:paraId="5301C7EE" w14:textId="0FBF4817" w:rsidR="00AF5DD9" w:rsidRPr="00AB194E" w:rsidRDefault="00AF5DD9" w:rsidP="00457C86">
      <w:pPr>
        <w:pStyle w:val="PR1"/>
      </w:pPr>
      <w:r w:rsidRPr="00AB194E">
        <w:lastRenderedPageBreak/>
        <w:t>For</w:t>
      </w:r>
      <w:r>
        <w:t xml:space="preserve"> ground</w:t>
      </w:r>
      <w:r w:rsidRPr="00AB194E">
        <w:t xml:space="preserve"> floor slab</w:t>
      </w:r>
      <w:r w:rsidR="00DE15C2">
        <w:t>-</w:t>
      </w:r>
      <w:r w:rsidRPr="00AB194E">
        <w:t>on</w:t>
      </w:r>
      <w:r w:rsidR="00DE15C2">
        <w:t>-</w:t>
      </w:r>
      <w:r w:rsidRPr="00AB194E">
        <w:t xml:space="preserve">grade constructed buildings, </w:t>
      </w:r>
      <w:r w:rsidR="00DE15C2">
        <w:t xml:space="preserve">route </w:t>
      </w:r>
      <w:r w:rsidRPr="00AB194E">
        <w:t>conduit</w:t>
      </w:r>
      <w:r>
        <w:t xml:space="preserve"> </w:t>
      </w:r>
      <w:r w:rsidRPr="00AB194E">
        <w:t xml:space="preserve">in walls and ceilings where possible. Where not possible, </w:t>
      </w:r>
      <w:r>
        <w:t xml:space="preserve">route </w:t>
      </w:r>
      <w:r w:rsidR="00DE15C2">
        <w:t xml:space="preserve">conduit </w:t>
      </w:r>
      <w:r w:rsidRPr="00AB194E">
        <w:t>under</w:t>
      </w:r>
      <w:r>
        <w:t>-</w:t>
      </w:r>
      <w:r w:rsidRPr="00AB194E">
        <w:t>slab</w:t>
      </w:r>
      <w:r>
        <w:t>,</w:t>
      </w:r>
      <w:r w:rsidRPr="00AB194E">
        <w:t xml:space="preserve"> directly from the device </w:t>
      </w:r>
      <w:r>
        <w:t xml:space="preserve">to </w:t>
      </w:r>
      <w:r w:rsidRPr="00AB194E">
        <w:t>the Security Room.</w:t>
      </w:r>
    </w:p>
    <w:p w14:paraId="3E94C49A" w14:textId="4EA90BAD" w:rsidR="00FB39FA" w:rsidRPr="00AB194E" w:rsidRDefault="00DE15C2" w:rsidP="00AF5DD9">
      <w:pPr>
        <w:pStyle w:val="PR1"/>
      </w:pPr>
      <w:r>
        <w:t>Provide</w:t>
      </w:r>
      <w:r w:rsidRPr="00DE15C2">
        <w:t xml:space="preserve"> </w:t>
      </w:r>
      <w:r w:rsidRPr="00AB194E">
        <w:t xml:space="preserve">minimum </w:t>
      </w:r>
      <w:r>
        <w:t>3/4</w:t>
      </w:r>
      <w:r w:rsidRPr="00AB194E">
        <w:t xml:space="preserve"> </w:t>
      </w:r>
      <w:r>
        <w:t xml:space="preserve">inch </w:t>
      </w:r>
      <w:r w:rsidRPr="00AB194E">
        <w:t>conduit</w:t>
      </w:r>
      <w:r>
        <w:t xml:space="preserve"> to d</w:t>
      </w:r>
      <w:r w:rsidR="00CD5637" w:rsidRPr="00AB194E">
        <w:t>oor rough</w:t>
      </w:r>
      <w:r>
        <w:t>-</w:t>
      </w:r>
      <w:r w:rsidR="00CD5637" w:rsidRPr="00AB194E">
        <w:t>in</w:t>
      </w:r>
      <w:r w:rsidR="002161C5">
        <w:t xml:space="preserve"> </w:t>
      </w:r>
      <w:r w:rsidR="00FB39FA" w:rsidRPr="00AB194E">
        <w:t>device location</w:t>
      </w:r>
      <w:r>
        <w:t>s.</w:t>
      </w:r>
      <w:r w:rsidR="00FB39FA" w:rsidRPr="00AB194E">
        <w:t xml:space="preserve">. </w:t>
      </w:r>
      <w:r w:rsidR="00CD5637" w:rsidRPr="00AB194E">
        <w:t xml:space="preserve">All other locations shall have a minimum of 1 </w:t>
      </w:r>
      <w:r w:rsidR="00CB323F">
        <w:t xml:space="preserve">inch </w:t>
      </w:r>
      <w:r w:rsidR="00CD5637" w:rsidRPr="00AB194E">
        <w:t xml:space="preserve">conduit. </w:t>
      </w:r>
      <w:r w:rsidR="00FB39FA" w:rsidRPr="00AB194E">
        <w:t>Increase the conduit size as necessary for the quantity of cables to be installed.</w:t>
      </w:r>
    </w:p>
    <w:p w14:paraId="6C471232" w14:textId="5AFCDDBB" w:rsidR="00FB39FA" w:rsidRPr="00AB194E" w:rsidRDefault="00FE58DD" w:rsidP="00AF5DD9">
      <w:pPr>
        <w:pStyle w:val="PR1"/>
      </w:pPr>
      <w:r>
        <w:t xml:space="preserve">Maintain </w:t>
      </w:r>
      <w:r w:rsidR="00FB39FA" w:rsidRPr="00AB194E">
        <w:t xml:space="preserve">minimum </w:t>
      </w:r>
      <w:r>
        <w:t xml:space="preserve">pathway </w:t>
      </w:r>
      <w:r w:rsidR="00FB39FA" w:rsidRPr="00AB194E">
        <w:t>separation distance</w:t>
      </w:r>
      <w:r w:rsidR="00DE15C2">
        <w:t>s</w:t>
      </w:r>
      <w:r w:rsidR="00FB39FA" w:rsidRPr="00AB194E">
        <w:t xml:space="preserve"> from power </w:t>
      </w:r>
      <w:r w:rsidR="00476572">
        <w:t xml:space="preserve">as </w:t>
      </w:r>
      <w:r w:rsidR="00FB39FA" w:rsidRPr="00AB194E">
        <w:t>listed below</w:t>
      </w:r>
      <w:r>
        <w:t>:</w:t>
      </w:r>
    </w:p>
    <w:p w14:paraId="7D920896" w14:textId="31D3234E" w:rsidR="00FB39FA" w:rsidRPr="00AB194E" w:rsidRDefault="00FB39FA" w:rsidP="00AF5DD9">
      <w:pPr>
        <w:pStyle w:val="PR2"/>
      </w:pPr>
      <w:r w:rsidRPr="00AB194E">
        <w:t>480V or greater</w:t>
      </w:r>
      <w:r w:rsidR="00FE58DD">
        <w:t xml:space="preserve">: </w:t>
      </w:r>
      <w:r w:rsidR="00476572">
        <w:t xml:space="preserve">minimum </w:t>
      </w:r>
      <w:r w:rsidRPr="00AB194E">
        <w:t>10 f</w:t>
      </w:r>
      <w:r w:rsidR="00F87D22">
        <w:t>ee</w:t>
      </w:r>
      <w:r w:rsidRPr="00AB194E">
        <w:t>t</w:t>
      </w:r>
      <w:r w:rsidR="00FE58DD">
        <w:t>.</w:t>
      </w:r>
    </w:p>
    <w:p w14:paraId="66606F95" w14:textId="6B02D868" w:rsidR="00FB39FA" w:rsidRPr="00AB194E" w:rsidRDefault="00FE58DD" w:rsidP="00AF5DD9">
      <w:pPr>
        <w:pStyle w:val="PR2"/>
      </w:pPr>
      <w:r>
        <w:t>L</w:t>
      </w:r>
      <w:r w:rsidR="00FB39FA" w:rsidRPr="00AB194E">
        <w:t>arge electrical motors or transformers</w:t>
      </w:r>
      <w:r>
        <w:t>:</w:t>
      </w:r>
      <w:r w:rsidR="00A434B3" w:rsidRPr="00AB194E">
        <w:t xml:space="preserve"> </w:t>
      </w:r>
      <w:r w:rsidR="00476572">
        <w:t xml:space="preserve">minimum </w:t>
      </w:r>
      <w:r w:rsidR="00A434B3" w:rsidRPr="00AB194E">
        <w:t>1</w:t>
      </w:r>
      <w:r w:rsidR="00FB39FA" w:rsidRPr="00AB194E">
        <w:t>4 f</w:t>
      </w:r>
      <w:r w:rsidR="00F87D22">
        <w:t>ee</w:t>
      </w:r>
      <w:r w:rsidR="00FB39FA" w:rsidRPr="00AB194E">
        <w:t>t</w:t>
      </w:r>
      <w:r>
        <w:t>.</w:t>
      </w:r>
    </w:p>
    <w:p w14:paraId="1CA5822B" w14:textId="78861861" w:rsidR="00FB39FA" w:rsidRPr="00AB194E" w:rsidRDefault="00FE58DD" w:rsidP="00AF5DD9">
      <w:pPr>
        <w:pStyle w:val="PR2"/>
      </w:pPr>
      <w:r>
        <w:t>L</w:t>
      </w:r>
      <w:r w:rsidR="00FB39FA" w:rsidRPr="00AB194E">
        <w:t>ightning protection system conductors (NEC 800-13</w:t>
      </w:r>
      <w:r>
        <w:t xml:space="preserve">): </w:t>
      </w:r>
      <w:r w:rsidR="00476572">
        <w:t xml:space="preserve">minimum </w:t>
      </w:r>
      <w:r w:rsidR="00FB39FA" w:rsidRPr="00AB194E">
        <w:t>6 f</w:t>
      </w:r>
      <w:r w:rsidR="00F87D22">
        <w:t>ee</w:t>
      </w:r>
      <w:r w:rsidR="00FB39FA" w:rsidRPr="00AB194E">
        <w:t>t</w:t>
      </w:r>
      <w:r w:rsidR="00D922B0">
        <w:t>.</w:t>
      </w:r>
    </w:p>
    <w:p w14:paraId="147F79B3" w14:textId="67350823" w:rsidR="00FB39FA" w:rsidRPr="00AB194E" w:rsidRDefault="00FE58DD" w:rsidP="00AF5DD9">
      <w:pPr>
        <w:pStyle w:val="PR2"/>
      </w:pPr>
      <w:r>
        <w:t>L</w:t>
      </w:r>
      <w:r w:rsidR="00FB39FA" w:rsidRPr="00AB194E">
        <w:t>ess than 480V</w:t>
      </w:r>
      <w:r>
        <w:t xml:space="preserve">: </w:t>
      </w:r>
      <w:r w:rsidR="00476572">
        <w:t xml:space="preserve">minimum </w:t>
      </w:r>
      <w:r w:rsidR="00FB39FA" w:rsidRPr="00AB194E">
        <w:t>2 f</w:t>
      </w:r>
      <w:r w:rsidR="00F87D22">
        <w:t>ee</w:t>
      </w:r>
      <w:r w:rsidR="00FB39FA" w:rsidRPr="00AB194E">
        <w:t>t</w:t>
      </w:r>
      <w:r w:rsidR="00D922B0">
        <w:t>.</w:t>
      </w:r>
    </w:p>
    <w:p w14:paraId="796C85D7" w14:textId="423C17D3" w:rsidR="00FB39FA" w:rsidRPr="00AB194E" w:rsidRDefault="00FE58DD" w:rsidP="00AF5DD9">
      <w:pPr>
        <w:pStyle w:val="PR2"/>
      </w:pPr>
      <w:r>
        <w:t>F</w:t>
      </w:r>
      <w:r w:rsidR="00FB39FA" w:rsidRPr="00AB194E">
        <w:t>luorescent lighting</w:t>
      </w:r>
      <w:r w:rsidR="00DE15C2">
        <w:t xml:space="preserve">: </w:t>
      </w:r>
      <w:r w:rsidR="00476572">
        <w:t xml:space="preserve">minimum </w:t>
      </w:r>
      <w:r w:rsidR="00FB39FA" w:rsidRPr="00AB194E">
        <w:t>5 in</w:t>
      </w:r>
      <w:r w:rsidR="00F87D22">
        <w:t>ches</w:t>
      </w:r>
      <w:r>
        <w:t xml:space="preserve"> in perpendicular</w:t>
      </w:r>
      <w:r w:rsidR="00B74D18">
        <w:t xml:space="preserve"> direction</w:t>
      </w:r>
      <w:r>
        <w:t>; 12 inches in parallel</w:t>
      </w:r>
      <w:r w:rsidR="00B74D18">
        <w:t xml:space="preserve"> direction</w:t>
      </w:r>
      <w:r>
        <w:t>.</w:t>
      </w:r>
    </w:p>
    <w:p w14:paraId="535783B0" w14:textId="45CF2A17" w:rsidR="00FB39FA" w:rsidRDefault="00FB39FA" w:rsidP="00AF5DD9">
      <w:pPr>
        <w:pStyle w:val="PR2"/>
      </w:pPr>
      <w:r w:rsidRPr="00AB194E">
        <w:t>For branch circuits (secondary) power (120/240V, 20A) where electric light or power circuits coexist with security cabling</w:t>
      </w:r>
      <w:r w:rsidR="00FE58DD">
        <w:t xml:space="preserve">: </w:t>
      </w:r>
      <w:r w:rsidR="00B74D18">
        <w:t xml:space="preserve">minimum </w:t>
      </w:r>
      <w:r w:rsidRPr="00AB194E">
        <w:t>2</w:t>
      </w:r>
      <w:r w:rsidR="00F87D22">
        <w:t xml:space="preserve"> </w:t>
      </w:r>
      <w:r w:rsidRPr="00AB194E">
        <w:t>in</w:t>
      </w:r>
      <w:r w:rsidR="00F87D22">
        <w:t>ches</w:t>
      </w:r>
      <w:r w:rsidRPr="00AB194E">
        <w:t>.</w:t>
      </w:r>
    </w:p>
    <w:p w14:paraId="7D3FAF39" w14:textId="2ED6486A" w:rsidR="005A550D" w:rsidRDefault="005A550D" w:rsidP="00AF5DD9">
      <w:pPr>
        <w:pStyle w:val="ART"/>
      </w:pPr>
      <w:r>
        <w:t>CLOSEOUT DOCUMENTS</w:t>
      </w:r>
    </w:p>
    <w:p w14:paraId="033AAB62" w14:textId="0E7F9EB1" w:rsidR="005A550D" w:rsidRPr="000845B0" w:rsidRDefault="00B74D18" w:rsidP="00AF5DD9">
      <w:pPr>
        <w:pStyle w:val="PR1"/>
      </w:pPr>
      <w:r>
        <w:t>Provide As-B</w:t>
      </w:r>
      <w:r w:rsidR="005A550D">
        <w:t xml:space="preserve">uilt </w:t>
      </w:r>
      <w:r>
        <w:t>D</w:t>
      </w:r>
      <w:r w:rsidR="005A550D">
        <w:t>rawings in .</w:t>
      </w:r>
      <w:proofErr w:type="spellStart"/>
      <w:r w:rsidR="005A550D">
        <w:t>dwg</w:t>
      </w:r>
      <w:proofErr w:type="spellEnd"/>
      <w:r w:rsidR="00DE15C2">
        <w:t xml:space="preserve">, </w:t>
      </w:r>
      <w:r w:rsidR="005A550D">
        <w:t>.</w:t>
      </w:r>
      <w:proofErr w:type="spellStart"/>
      <w:r w:rsidR="005A550D">
        <w:t>rvt</w:t>
      </w:r>
      <w:proofErr w:type="spellEnd"/>
      <w:r w:rsidR="005A550D">
        <w:t xml:space="preserve"> and .pdf formats showing installed pathway routing and junction box locations for all security devices.</w:t>
      </w:r>
    </w:p>
    <w:p w14:paraId="5F63D712" w14:textId="5CBF2BA2" w:rsidR="00FB39FA" w:rsidRPr="00AB194E" w:rsidRDefault="00537C76" w:rsidP="000845B0">
      <w:pPr>
        <w:pStyle w:val="EOS"/>
      </w:pPr>
      <w:r w:rsidRPr="00AB194E">
        <w:t>END OF SECTION</w:t>
      </w:r>
      <w:r w:rsidR="005B4C52" w:rsidRPr="00AB194E">
        <w:t xml:space="preserve"> 28 0528</w:t>
      </w:r>
    </w:p>
    <w:sectPr w:rsidR="00FB39FA" w:rsidRPr="00AB194E" w:rsidSect="00D922B0">
      <w:headerReference w:type="default" r:id="rId8"/>
      <w:footerReference w:type="default" r:id="rId9"/>
      <w:pgSz w:w="12240" w:h="15840"/>
      <w:pgMar w:top="1440" w:right="1440" w:bottom="1440" w:left="1440" w:header="720" w:footer="576"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C27D" w16cex:dateUtc="2020-10-20T06:57:00Z"/>
  <w16cex:commentExtensible w16cex:durableId="22E118A8" w16cex:dateUtc="2020-08-14T19:0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5767" w14:textId="77777777" w:rsidR="00AC13A8" w:rsidRDefault="00AC13A8">
      <w:r>
        <w:separator/>
      </w:r>
    </w:p>
  </w:endnote>
  <w:endnote w:type="continuationSeparator" w:id="0">
    <w:p w14:paraId="3726CD03" w14:textId="77777777" w:rsidR="00AC13A8" w:rsidRDefault="00AC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611"/>
      <w:gridCol w:w="3255"/>
      <w:gridCol w:w="523"/>
      <w:gridCol w:w="1963"/>
    </w:tblGrid>
    <w:tr w:rsidR="00605454" w:rsidRPr="00605454" w14:paraId="3DEC8486" w14:textId="77777777" w:rsidTr="00605454">
      <w:tc>
        <w:tcPr>
          <w:tcW w:w="3078" w:type="dxa"/>
          <w:shd w:val="clear" w:color="auto" w:fill="auto"/>
        </w:tcPr>
        <w:p w14:paraId="34EE8EF5" w14:textId="77777777" w:rsidR="00605454" w:rsidRPr="00605454" w:rsidRDefault="00605454" w:rsidP="00605454">
          <w:pPr>
            <w:pStyle w:val="Footer"/>
            <w:rPr>
              <w:szCs w:val="22"/>
            </w:rPr>
          </w:pPr>
          <w:r w:rsidRPr="00605454">
            <w:rPr>
              <w:szCs w:val="22"/>
            </w:rPr>
            <w:t>&lt;Insert A/E Name&gt;</w:t>
          </w:r>
        </w:p>
      </w:tc>
      <w:tc>
        <w:tcPr>
          <w:tcW w:w="4500" w:type="dxa"/>
          <w:gridSpan w:val="3"/>
          <w:shd w:val="clear" w:color="auto" w:fill="auto"/>
        </w:tcPr>
        <w:p w14:paraId="3EEF165C" w14:textId="543493D0" w:rsidR="00605454" w:rsidRPr="00605454" w:rsidRDefault="00605454" w:rsidP="00605454">
          <w:pPr>
            <w:pStyle w:val="Footer"/>
            <w:jc w:val="center"/>
            <w:rPr>
              <w:b/>
              <w:szCs w:val="22"/>
            </w:rPr>
          </w:pPr>
          <w:r w:rsidRPr="00605454">
            <w:rPr>
              <w:b/>
              <w:szCs w:val="22"/>
            </w:rPr>
            <w:t>Pathways for Electronic Safety and Security</w:t>
          </w:r>
        </w:p>
      </w:tc>
      <w:tc>
        <w:tcPr>
          <w:tcW w:w="1998" w:type="dxa"/>
          <w:shd w:val="clear" w:color="auto" w:fill="auto"/>
        </w:tcPr>
        <w:p w14:paraId="75399A97" w14:textId="289510A5" w:rsidR="00605454" w:rsidRPr="00605454" w:rsidRDefault="00605454" w:rsidP="00605454">
          <w:pPr>
            <w:pStyle w:val="Footer"/>
            <w:jc w:val="right"/>
            <w:rPr>
              <w:szCs w:val="22"/>
            </w:rPr>
          </w:pPr>
          <w:r w:rsidRPr="00605454">
            <w:rPr>
              <w:szCs w:val="22"/>
            </w:rPr>
            <w:t xml:space="preserve">28 0528 - </w:t>
          </w:r>
          <w:r w:rsidRPr="00605454">
            <w:rPr>
              <w:szCs w:val="22"/>
            </w:rPr>
            <w:fldChar w:fldCharType="begin"/>
          </w:r>
          <w:r w:rsidRPr="00605454">
            <w:rPr>
              <w:szCs w:val="22"/>
            </w:rPr>
            <w:instrText xml:space="preserve"> PAGE  \* MERGEFORMAT </w:instrText>
          </w:r>
          <w:r w:rsidRPr="00605454">
            <w:rPr>
              <w:szCs w:val="22"/>
            </w:rPr>
            <w:fldChar w:fldCharType="separate"/>
          </w:r>
          <w:r w:rsidR="008B3A02">
            <w:rPr>
              <w:noProof/>
              <w:szCs w:val="22"/>
            </w:rPr>
            <w:t>1</w:t>
          </w:r>
          <w:r w:rsidRPr="00605454">
            <w:rPr>
              <w:szCs w:val="22"/>
            </w:rPr>
            <w:fldChar w:fldCharType="end"/>
          </w:r>
        </w:p>
      </w:tc>
    </w:tr>
    <w:tr w:rsidR="00605454" w:rsidRPr="00605454" w14:paraId="2C6C8190" w14:textId="77777777" w:rsidTr="00605454">
      <w:tc>
        <w:tcPr>
          <w:tcW w:w="3708" w:type="dxa"/>
          <w:gridSpan w:val="2"/>
          <w:shd w:val="clear" w:color="auto" w:fill="auto"/>
        </w:tcPr>
        <w:p w14:paraId="35A4D149" w14:textId="77777777" w:rsidR="00605454" w:rsidRPr="00605454" w:rsidRDefault="00605454" w:rsidP="00605454">
          <w:pPr>
            <w:pStyle w:val="Footer"/>
            <w:rPr>
              <w:szCs w:val="22"/>
            </w:rPr>
          </w:pPr>
          <w:r w:rsidRPr="00605454">
            <w:rPr>
              <w:szCs w:val="22"/>
            </w:rPr>
            <w:t>AE Project #: &lt;Insert Project Number&gt;</w:t>
          </w:r>
        </w:p>
      </w:tc>
      <w:tc>
        <w:tcPr>
          <w:tcW w:w="3330" w:type="dxa"/>
          <w:shd w:val="clear" w:color="auto" w:fill="auto"/>
        </w:tcPr>
        <w:p w14:paraId="0EFDB7BD" w14:textId="2935DD93" w:rsidR="00605454" w:rsidRPr="00605454" w:rsidRDefault="00605454" w:rsidP="00605454">
          <w:pPr>
            <w:pStyle w:val="Footer"/>
            <w:jc w:val="center"/>
            <w:rPr>
              <w:b/>
              <w:szCs w:val="22"/>
            </w:rPr>
          </w:pPr>
          <w:r w:rsidRPr="00605454">
            <w:rPr>
              <w:b/>
              <w:szCs w:val="22"/>
            </w:rPr>
            <w:t xml:space="preserve">UH Master: </w:t>
          </w:r>
          <w:r w:rsidR="001764EE">
            <w:rPr>
              <w:b/>
              <w:szCs w:val="22"/>
            </w:rPr>
            <w:t>1</w:t>
          </w:r>
          <w:r w:rsidR="00D922B0">
            <w:rPr>
              <w:b/>
              <w:szCs w:val="22"/>
            </w:rPr>
            <w:t>2</w:t>
          </w:r>
          <w:r w:rsidRPr="00605454">
            <w:rPr>
              <w:b/>
              <w:szCs w:val="22"/>
            </w:rPr>
            <w:t>.2020</w:t>
          </w:r>
        </w:p>
      </w:tc>
      <w:tc>
        <w:tcPr>
          <w:tcW w:w="2538" w:type="dxa"/>
          <w:gridSpan w:val="2"/>
          <w:shd w:val="clear" w:color="auto" w:fill="auto"/>
        </w:tcPr>
        <w:p w14:paraId="367E7573" w14:textId="77777777" w:rsidR="00605454" w:rsidRPr="00605454" w:rsidRDefault="00605454" w:rsidP="00605454">
          <w:pPr>
            <w:pStyle w:val="Footer"/>
            <w:jc w:val="right"/>
            <w:rPr>
              <w:szCs w:val="22"/>
            </w:rPr>
          </w:pPr>
        </w:p>
      </w:tc>
    </w:tr>
  </w:tbl>
  <w:p w14:paraId="7D2CE03D" w14:textId="6EC8F110" w:rsidR="004124F5" w:rsidRPr="00AB194E" w:rsidRDefault="004124F5" w:rsidP="008669C4">
    <w:pPr>
      <w:pStyle w:val="Footer"/>
      <w:tabs>
        <w:tab w:val="clear" w:pos="4320"/>
        <w:tab w:val="clear" w:pos="8640"/>
        <w:tab w:val="left" w:pos="150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2262A" w14:textId="77777777" w:rsidR="00AC13A8" w:rsidRDefault="00AC13A8">
      <w:r>
        <w:separator/>
      </w:r>
    </w:p>
  </w:footnote>
  <w:footnote w:type="continuationSeparator" w:id="0">
    <w:p w14:paraId="33D67664" w14:textId="77777777" w:rsidR="00AC13A8" w:rsidRDefault="00AC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E219" w14:textId="77777777" w:rsidR="005B4C52" w:rsidRPr="005D64CC" w:rsidRDefault="005B4C52" w:rsidP="005B4C52">
    <w:pPr>
      <w:tabs>
        <w:tab w:val="center" w:pos="4680"/>
        <w:tab w:val="right" w:pos="9360"/>
      </w:tabs>
      <w:rPr>
        <w:rFonts w:asciiTheme="minorHAnsi" w:eastAsia="Calibri" w:hAnsiTheme="minorHAnsi" w:cstheme="minorHAnsi"/>
        <w:szCs w:val="22"/>
      </w:rPr>
    </w:pPr>
    <w:bookmarkStart w:id="9" w:name="_Hlk39145747"/>
    <w:r>
      <w:rPr>
        <w:b/>
      </w:rPr>
      <w:tab/>
    </w:r>
    <w:r w:rsidRPr="005D64CC">
      <w:rPr>
        <w:rFonts w:asciiTheme="minorHAnsi" w:hAnsiTheme="minorHAnsi" w:cstheme="minorHAnsi"/>
        <w:b/>
        <w:szCs w:val="22"/>
      </w:rPr>
      <w:t>University of Houston Master Specification</w:t>
    </w:r>
    <w:r w:rsidRPr="005D64CC">
      <w:rPr>
        <w:rFonts w:asciiTheme="minorHAnsi" w:eastAsia="Calibri" w:hAnsiTheme="minorHAnsi" w:cstheme="minorHAnsi"/>
        <w:szCs w:val="22"/>
      </w:rPr>
      <w:t xml:space="preserve"> </w:t>
    </w:r>
  </w:p>
  <w:p w14:paraId="25879D45" w14:textId="77777777" w:rsidR="005B4C52" w:rsidRPr="005D64CC" w:rsidRDefault="005B4C52" w:rsidP="005B4C52">
    <w:pPr>
      <w:tabs>
        <w:tab w:val="center" w:pos="4680"/>
        <w:tab w:val="right" w:pos="9360"/>
      </w:tabs>
      <w:rPr>
        <w:rFonts w:asciiTheme="minorHAnsi" w:eastAsia="Calibri" w:hAnsiTheme="minorHAnsi" w:cstheme="minorHAnsi"/>
        <w:szCs w:val="22"/>
      </w:rPr>
    </w:pPr>
    <w:r w:rsidRPr="005D64CC">
      <w:rPr>
        <w:rFonts w:asciiTheme="minorHAnsi" w:eastAsia="Calibri" w:hAnsiTheme="minorHAnsi" w:cstheme="minorHAnsi"/>
        <w:szCs w:val="22"/>
      </w:rPr>
      <w:t>&lt;Insert Project Name&gt;</w:t>
    </w:r>
    <w:r w:rsidRPr="005D64CC">
      <w:rPr>
        <w:rFonts w:asciiTheme="minorHAnsi" w:eastAsia="Calibri" w:hAnsiTheme="minorHAnsi" w:cstheme="minorHAnsi"/>
        <w:szCs w:val="22"/>
      </w:rPr>
      <w:tab/>
    </w:r>
    <w:r w:rsidRPr="005D64CC">
      <w:rPr>
        <w:rFonts w:asciiTheme="minorHAnsi" w:eastAsia="Calibri" w:hAnsiTheme="minorHAnsi" w:cstheme="minorHAnsi"/>
        <w:szCs w:val="22"/>
      </w:rPr>
      <w:tab/>
    </w:r>
    <w:bookmarkEnd w:id="9"/>
    <w:r w:rsidRPr="005D64CC">
      <w:rPr>
        <w:rFonts w:asciiTheme="minorHAnsi" w:eastAsia="Calibri" w:hAnsiTheme="minorHAnsi" w:cstheme="minorHAnsi"/>
        <w:szCs w:val="22"/>
      </w:rPr>
      <w:t>&lt;Insert Issue Name&gt;</w:t>
    </w:r>
  </w:p>
  <w:p w14:paraId="5EA91EC8" w14:textId="77777777" w:rsidR="005B4C52" w:rsidRPr="005D64CC" w:rsidRDefault="005B4C52" w:rsidP="005B4C52">
    <w:pPr>
      <w:tabs>
        <w:tab w:val="center" w:pos="4680"/>
        <w:tab w:val="right" w:pos="9360"/>
      </w:tabs>
      <w:rPr>
        <w:rFonts w:asciiTheme="minorHAnsi" w:eastAsia="Calibri" w:hAnsiTheme="minorHAnsi" w:cstheme="minorHAnsi"/>
        <w:szCs w:val="22"/>
      </w:rPr>
    </w:pPr>
    <w:r w:rsidRPr="005D64CC">
      <w:rPr>
        <w:rFonts w:asciiTheme="minorHAnsi" w:eastAsia="Calibri" w:hAnsiTheme="minorHAnsi" w:cstheme="minorHAnsi"/>
        <w:szCs w:val="22"/>
      </w:rPr>
      <w:t>&lt;Insert U of H Proj #&gt;</w:t>
    </w:r>
    <w:r w:rsidRPr="005D64CC">
      <w:rPr>
        <w:rFonts w:asciiTheme="minorHAnsi" w:eastAsia="Calibri" w:hAnsiTheme="minorHAnsi" w:cstheme="minorHAnsi"/>
        <w:szCs w:val="22"/>
      </w:rPr>
      <w:tab/>
    </w:r>
    <w:r w:rsidRPr="005D64CC">
      <w:rPr>
        <w:rFonts w:asciiTheme="minorHAnsi" w:eastAsia="Calibri" w:hAnsiTheme="minorHAnsi" w:cstheme="minorHAnsi"/>
        <w:szCs w:val="22"/>
      </w:rPr>
      <w:tab/>
      <w:t>&lt;Insert Issue Date&gt;</w:t>
    </w:r>
  </w:p>
  <w:p w14:paraId="490C0F1D" w14:textId="77777777" w:rsidR="004124F5" w:rsidRPr="00EA042A" w:rsidRDefault="004124F5">
    <w:pPr>
      <w:tabs>
        <w:tab w:val="center" w:pos="4680"/>
        <w:tab w:val="right" w:pos="9360"/>
      </w:tabs>
      <w:autoSpaceDE w:val="0"/>
      <w:autoSpaceDN w:val="0"/>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585DFA"/>
    <w:lvl w:ilvl="0">
      <w:start w:val="1"/>
      <w:numFmt w:val="decimal"/>
      <w:suff w:val="nothing"/>
      <w:lvlText w:val="PART %1 - "/>
      <w:lvlJc w:val="left"/>
      <w:rPr>
        <w:rFonts w:cs="Times New Roman" w:hint="default"/>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386"/>
        </w:tabs>
        <w:ind w:left="138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082B0275"/>
    <w:multiLevelType w:val="hybridMultilevel"/>
    <w:tmpl w:val="B12A1BDA"/>
    <w:lvl w:ilvl="0" w:tplc="DF347F56">
      <w:start w:val="10"/>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5E7072"/>
    <w:multiLevelType w:val="hybridMultilevel"/>
    <w:tmpl w:val="9D86BC52"/>
    <w:lvl w:ilvl="0" w:tplc="6430024C">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3" w15:restartNumberingAfterBreak="0">
    <w:nsid w:val="1E140DEC"/>
    <w:multiLevelType w:val="multilevel"/>
    <w:tmpl w:val="63226D58"/>
    <w:lvl w:ilvl="0">
      <w:start w:val="1"/>
      <w:numFmt w:val="decimal"/>
      <w:pStyle w:val="PRT"/>
      <w:suff w:val="nothing"/>
      <w:lvlText w:val="PART %1 - "/>
      <w:lvlJc w:val="left"/>
      <w:rPr>
        <w:rFonts w:asciiTheme="minorHAnsi" w:hAnsiTheme="minorHAnsi" w:cstheme="minorHAnsi" w:hint="default"/>
        <w:b w:val="0"/>
        <w:i w:val="0"/>
        <w:color w:val="auto"/>
        <w:sz w:val="22"/>
        <w:szCs w:val="22"/>
        <w:u w:val="non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4" w15:restartNumberingAfterBreak="0">
    <w:nsid w:val="205A5AD9"/>
    <w:multiLevelType w:val="hybridMultilevel"/>
    <w:tmpl w:val="EB2A63C0"/>
    <w:lvl w:ilvl="0" w:tplc="04090015">
      <w:start w:val="1"/>
      <w:numFmt w:val="upperLetter"/>
      <w:lvlText w:val="%1."/>
      <w:lvlJc w:val="left"/>
      <w:pPr>
        <w:ind w:left="1590" w:hanging="360"/>
      </w:pPr>
      <w:rPr>
        <w:rFonts w:cs="Times New Roman"/>
      </w:rPr>
    </w:lvl>
    <w:lvl w:ilvl="1" w:tplc="04090019" w:tentative="1">
      <w:start w:val="1"/>
      <w:numFmt w:val="lowerLetter"/>
      <w:lvlText w:val="%2."/>
      <w:lvlJc w:val="left"/>
      <w:pPr>
        <w:ind w:left="2310" w:hanging="360"/>
      </w:pPr>
      <w:rPr>
        <w:rFonts w:cs="Times New Roman"/>
      </w:rPr>
    </w:lvl>
    <w:lvl w:ilvl="2" w:tplc="0409001B" w:tentative="1">
      <w:start w:val="1"/>
      <w:numFmt w:val="lowerRoman"/>
      <w:lvlText w:val="%3."/>
      <w:lvlJc w:val="right"/>
      <w:pPr>
        <w:ind w:left="3030" w:hanging="180"/>
      </w:pPr>
      <w:rPr>
        <w:rFonts w:cs="Times New Roman"/>
      </w:rPr>
    </w:lvl>
    <w:lvl w:ilvl="3" w:tplc="0409000F" w:tentative="1">
      <w:start w:val="1"/>
      <w:numFmt w:val="decimal"/>
      <w:lvlText w:val="%4."/>
      <w:lvlJc w:val="left"/>
      <w:pPr>
        <w:ind w:left="3750" w:hanging="360"/>
      </w:pPr>
      <w:rPr>
        <w:rFonts w:cs="Times New Roman"/>
      </w:rPr>
    </w:lvl>
    <w:lvl w:ilvl="4" w:tplc="04090019" w:tentative="1">
      <w:start w:val="1"/>
      <w:numFmt w:val="lowerLetter"/>
      <w:lvlText w:val="%5."/>
      <w:lvlJc w:val="left"/>
      <w:pPr>
        <w:ind w:left="4470" w:hanging="360"/>
      </w:pPr>
      <w:rPr>
        <w:rFonts w:cs="Times New Roman"/>
      </w:rPr>
    </w:lvl>
    <w:lvl w:ilvl="5" w:tplc="0409001B" w:tentative="1">
      <w:start w:val="1"/>
      <w:numFmt w:val="lowerRoman"/>
      <w:lvlText w:val="%6."/>
      <w:lvlJc w:val="right"/>
      <w:pPr>
        <w:ind w:left="5190" w:hanging="180"/>
      </w:pPr>
      <w:rPr>
        <w:rFonts w:cs="Times New Roman"/>
      </w:rPr>
    </w:lvl>
    <w:lvl w:ilvl="6" w:tplc="0409000F" w:tentative="1">
      <w:start w:val="1"/>
      <w:numFmt w:val="decimal"/>
      <w:lvlText w:val="%7."/>
      <w:lvlJc w:val="left"/>
      <w:pPr>
        <w:ind w:left="5910" w:hanging="360"/>
      </w:pPr>
      <w:rPr>
        <w:rFonts w:cs="Times New Roman"/>
      </w:rPr>
    </w:lvl>
    <w:lvl w:ilvl="7" w:tplc="04090019" w:tentative="1">
      <w:start w:val="1"/>
      <w:numFmt w:val="lowerLetter"/>
      <w:lvlText w:val="%8."/>
      <w:lvlJc w:val="left"/>
      <w:pPr>
        <w:ind w:left="6630" w:hanging="360"/>
      </w:pPr>
      <w:rPr>
        <w:rFonts w:cs="Times New Roman"/>
      </w:rPr>
    </w:lvl>
    <w:lvl w:ilvl="8" w:tplc="0409001B" w:tentative="1">
      <w:start w:val="1"/>
      <w:numFmt w:val="lowerRoman"/>
      <w:lvlText w:val="%9."/>
      <w:lvlJc w:val="right"/>
      <w:pPr>
        <w:ind w:left="7350" w:hanging="180"/>
      </w:pPr>
      <w:rPr>
        <w:rFonts w:cs="Times New Roman"/>
      </w:rPr>
    </w:lvl>
  </w:abstractNum>
  <w:abstractNum w:abstractNumId="5" w15:restartNumberingAfterBreak="0">
    <w:nsid w:val="274D7352"/>
    <w:multiLevelType w:val="hybridMultilevel"/>
    <w:tmpl w:val="B928B29C"/>
    <w:lvl w:ilvl="0" w:tplc="643002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7F1122"/>
    <w:multiLevelType w:val="hybridMultilevel"/>
    <w:tmpl w:val="76CAC9B8"/>
    <w:lvl w:ilvl="0" w:tplc="DF347F56">
      <w:start w:val="1"/>
      <w:numFmt w:val="upperLetter"/>
      <w:lvlText w:val="%1."/>
      <w:lvlJc w:val="left"/>
      <w:pPr>
        <w:ind w:left="1530" w:hanging="360"/>
      </w:pPr>
      <w:rPr>
        <w:rFonts w:cs="Times New Roman" w:hint="default"/>
        <w:b w:val="0"/>
        <w:bCs w:val="0"/>
        <w:i w:val="0"/>
        <w:iC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A82028">
      <w:start w:val="1"/>
      <w:numFmt w:val="upperRoman"/>
      <w:lvlText w:val="%2."/>
      <w:lvlJc w:val="left"/>
      <w:pPr>
        <w:ind w:left="2250" w:hanging="360"/>
      </w:pPr>
      <w:rPr>
        <w:rFonts w:ascii="Arial" w:eastAsia="Times New Roman" w:hAnsi="Arial"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7" w15:restartNumberingAfterBreak="0">
    <w:nsid w:val="3C9C7A71"/>
    <w:multiLevelType w:val="hybridMultilevel"/>
    <w:tmpl w:val="91BA1D20"/>
    <w:lvl w:ilvl="0" w:tplc="44E09460">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18C1B60"/>
    <w:multiLevelType w:val="hybridMultilevel"/>
    <w:tmpl w:val="BBECFAB6"/>
    <w:lvl w:ilvl="0" w:tplc="2AD46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A4A41"/>
    <w:multiLevelType w:val="hybridMultilevel"/>
    <w:tmpl w:val="D1622D6A"/>
    <w:lvl w:ilvl="0" w:tplc="0409000F">
      <w:start w:val="1"/>
      <w:numFmt w:val="decimal"/>
      <w:lvlText w:val="%1."/>
      <w:lvlJc w:val="left"/>
      <w:pPr>
        <w:ind w:left="1275" w:hanging="42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10" w15:restartNumberingAfterBreak="0">
    <w:nsid w:val="5B685E97"/>
    <w:multiLevelType w:val="hybridMultilevel"/>
    <w:tmpl w:val="04463E98"/>
    <w:lvl w:ilvl="0" w:tplc="2AD467F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5C6E38F6"/>
    <w:multiLevelType w:val="hybridMultilevel"/>
    <w:tmpl w:val="FA646478"/>
    <w:lvl w:ilvl="0" w:tplc="0409000F">
      <w:start w:val="1"/>
      <w:numFmt w:val="decimal"/>
      <w:lvlText w:val="%1."/>
      <w:lvlJc w:val="left"/>
      <w:pPr>
        <w:ind w:left="1590" w:hanging="360"/>
      </w:pPr>
      <w:rPr>
        <w:rFonts w:cs="Times New Roman"/>
      </w:rPr>
    </w:lvl>
    <w:lvl w:ilvl="1" w:tplc="04090019" w:tentative="1">
      <w:start w:val="1"/>
      <w:numFmt w:val="lowerLetter"/>
      <w:lvlText w:val="%2."/>
      <w:lvlJc w:val="left"/>
      <w:pPr>
        <w:ind w:left="2310" w:hanging="360"/>
      </w:pPr>
      <w:rPr>
        <w:rFonts w:cs="Times New Roman"/>
      </w:rPr>
    </w:lvl>
    <w:lvl w:ilvl="2" w:tplc="0409001B" w:tentative="1">
      <w:start w:val="1"/>
      <w:numFmt w:val="lowerRoman"/>
      <w:lvlText w:val="%3."/>
      <w:lvlJc w:val="right"/>
      <w:pPr>
        <w:ind w:left="3030" w:hanging="180"/>
      </w:pPr>
      <w:rPr>
        <w:rFonts w:cs="Times New Roman"/>
      </w:rPr>
    </w:lvl>
    <w:lvl w:ilvl="3" w:tplc="0409000F" w:tentative="1">
      <w:start w:val="1"/>
      <w:numFmt w:val="decimal"/>
      <w:lvlText w:val="%4."/>
      <w:lvlJc w:val="left"/>
      <w:pPr>
        <w:ind w:left="3750" w:hanging="360"/>
      </w:pPr>
      <w:rPr>
        <w:rFonts w:cs="Times New Roman"/>
      </w:rPr>
    </w:lvl>
    <w:lvl w:ilvl="4" w:tplc="04090019" w:tentative="1">
      <w:start w:val="1"/>
      <w:numFmt w:val="lowerLetter"/>
      <w:lvlText w:val="%5."/>
      <w:lvlJc w:val="left"/>
      <w:pPr>
        <w:ind w:left="4470" w:hanging="360"/>
      </w:pPr>
      <w:rPr>
        <w:rFonts w:cs="Times New Roman"/>
      </w:rPr>
    </w:lvl>
    <w:lvl w:ilvl="5" w:tplc="0409001B" w:tentative="1">
      <w:start w:val="1"/>
      <w:numFmt w:val="lowerRoman"/>
      <w:lvlText w:val="%6."/>
      <w:lvlJc w:val="right"/>
      <w:pPr>
        <w:ind w:left="5190" w:hanging="180"/>
      </w:pPr>
      <w:rPr>
        <w:rFonts w:cs="Times New Roman"/>
      </w:rPr>
    </w:lvl>
    <w:lvl w:ilvl="6" w:tplc="0409000F" w:tentative="1">
      <w:start w:val="1"/>
      <w:numFmt w:val="decimal"/>
      <w:lvlText w:val="%7."/>
      <w:lvlJc w:val="left"/>
      <w:pPr>
        <w:ind w:left="5910" w:hanging="360"/>
      </w:pPr>
      <w:rPr>
        <w:rFonts w:cs="Times New Roman"/>
      </w:rPr>
    </w:lvl>
    <w:lvl w:ilvl="7" w:tplc="04090019" w:tentative="1">
      <w:start w:val="1"/>
      <w:numFmt w:val="lowerLetter"/>
      <w:lvlText w:val="%8."/>
      <w:lvlJc w:val="left"/>
      <w:pPr>
        <w:ind w:left="6630" w:hanging="360"/>
      </w:pPr>
      <w:rPr>
        <w:rFonts w:cs="Times New Roman"/>
      </w:rPr>
    </w:lvl>
    <w:lvl w:ilvl="8" w:tplc="0409001B" w:tentative="1">
      <w:start w:val="1"/>
      <w:numFmt w:val="lowerRoman"/>
      <w:lvlText w:val="%9."/>
      <w:lvlJc w:val="right"/>
      <w:pPr>
        <w:ind w:left="7350" w:hanging="180"/>
      </w:pPr>
      <w:rPr>
        <w:rFonts w:cs="Times New Roman"/>
      </w:rPr>
    </w:lvl>
  </w:abstractNum>
  <w:num w:numId="1">
    <w:abstractNumId w:val="4"/>
  </w:num>
  <w:num w:numId="2">
    <w:abstractNumId w:val="2"/>
  </w:num>
  <w:num w:numId="3">
    <w:abstractNumId w:val="6"/>
  </w:num>
  <w:num w:numId="4">
    <w:abstractNumId w:val="1"/>
  </w:num>
  <w:num w:numId="5">
    <w:abstractNumId w:val="5"/>
  </w:num>
  <w:num w:numId="6">
    <w:abstractNumId w:val="11"/>
  </w:num>
  <w:num w:numId="7">
    <w:abstractNumId w:val="10"/>
  </w:num>
  <w:num w:numId="8">
    <w:abstractNumId w:val="8"/>
  </w:num>
  <w:num w:numId="9">
    <w:abstractNumId w:val="7"/>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9F"/>
    <w:rsid w:val="000023F4"/>
    <w:rsid w:val="00031484"/>
    <w:rsid w:val="000845B0"/>
    <w:rsid w:val="00087841"/>
    <w:rsid w:val="000B750E"/>
    <w:rsid w:val="000C436C"/>
    <w:rsid w:val="000D215A"/>
    <w:rsid w:val="001764EE"/>
    <w:rsid w:val="001C190F"/>
    <w:rsid w:val="001E75B3"/>
    <w:rsid w:val="002161C5"/>
    <w:rsid w:val="0025365E"/>
    <w:rsid w:val="00260013"/>
    <w:rsid w:val="00285C61"/>
    <w:rsid w:val="002A5A82"/>
    <w:rsid w:val="002E22E2"/>
    <w:rsid w:val="002F4047"/>
    <w:rsid w:val="00330173"/>
    <w:rsid w:val="00395DDD"/>
    <w:rsid w:val="003F1014"/>
    <w:rsid w:val="00401742"/>
    <w:rsid w:val="004124F5"/>
    <w:rsid w:val="00455327"/>
    <w:rsid w:val="00457C86"/>
    <w:rsid w:val="004603BF"/>
    <w:rsid w:val="0047446E"/>
    <w:rsid w:val="00476572"/>
    <w:rsid w:val="00496A55"/>
    <w:rsid w:val="004B33DA"/>
    <w:rsid w:val="004D233D"/>
    <w:rsid w:val="004E1AFD"/>
    <w:rsid w:val="004E5DCA"/>
    <w:rsid w:val="00520172"/>
    <w:rsid w:val="00537C76"/>
    <w:rsid w:val="00542531"/>
    <w:rsid w:val="005470E9"/>
    <w:rsid w:val="005A31FD"/>
    <w:rsid w:val="005A550D"/>
    <w:rsid w:val="005B4C52"/>
    <w:rsid w:val="005D64CC"/>
    <w:rsid w:val="00605454"/>
    <w:rsid w:val="00634A58"/>
    <w:rsid w:val="00641EF3"/>
    <w:rsid w:val="0065220D"/>
    <w:rsid w:val="00665386"/>
    <w:rsid w:val="00676031"/>
    <w:rsid w:val="00691322"/>
    <w:rsid w:val="006C2DE3"/>
    <w:rsid w:val="006C6D4D"/>
    <w:rsid w:val="006E4317"/>
    <w:rsid w:val="006F15F0"/>
    <w:rsid w:val="00705D41"/>
    <w:rsid w:val="00714380"/>
    <w:rsid w:val="007330F5"/>
    <w:rsid w:val="00745AB1"/>
    <w:rsid w:val="007548B2"/>
    <w:rsid w:val="00763124"/>
    <w:rsid w:val="00775ECA"/>
    <w:rsid w:val="00777B07"/>
    <w:rsid w:val="0079792F"/>
    <w:rsid w:val="007C561C"/>
    <w:rsid w:val="00861EB6"/>
    <w:rsid w:val="008669C4"/>
    <w:rsid w:val="00882246"/>
    <w:rsid w:val="008B3A02"/>
    <w:rsid w:val="008C1037"/>
    <w:rsid w:val="008F2782"/>
    <w:rsid w:val="009513C1"/>
    <w:rsid w:val="00975E51"/>
    <w:rsid w:val="009932F8"/>
    <w:rsid w:val="009A193B"/>
    <w:rsid w:val="009E0306"/>
    <w:rsid w:val="009E4B84"/>
    <w:rsid w:val="00A12573"/>
    <w:rsid w:val="00A153F6"/>
    <w:rsid w:val="00A35C1A"/>
    <w:rsid w:val="00A434B3"/>
    <w:rsid w:val="00A5621A"/>
    <w:rsid w:val="00A7163B"/>
    <w:rsid w:val="00A95141"/>
    <w:rsid w:val="00A96761"/>
    <w:rsid w:val="00AB194E"/>
    <w:rsid w:val="00AB2605"/>
    <w:rsid w:val="00AC13A8"/>
    <w:rsid w:val="00AC7989"/>
    <w:rsid w:val="00AF5DD9"/>
    <w:rsid w:val="00B004B5"/>
    <w:rsid w:val="00B2150C"/>
    <w:rsid w:val="00B264C2"/>
    <w:rsid w:val="00B26B07"/>
    <w:rsid w:val="00B33926"/>
    <w:rsid w:val="00B51A48"/>
    <w:rsid w:val="00B5532B"/>
    <w:rsid w:val="00B74D18"/>
    <w:rsid w:val="00B83F95"/>
    <w:rsid w:val="00B903E6"/>
    <w:rsid w:val="00BA2501"/>
    <w:rsid w:val="00BA45A4"/>
    <w:rsid w:val="00C009DD"/>
    <w:rsid w:val="00C13E44"/>
    <w:rsid w:val="00C22FE9"/>
    <w:rsid w:val="00C97A29"/>
    <w:rsid w:val="00CA2D72"/>
    <w:rsid w:val="00CB323F"/>
    <w:rsid w:val="00CB39C1"/>
    <w:rsid w:val="00CD5637"/>
    <w:rsid w:val="00D0528B"/>
    <w:rsid w:val="00D52FB3"/>
    <w:rsid w:val="00D57944"/>
    <w:rsid w:val="00D90E64"/>
    <w:rsid w:val="00D922B0"/>
    <w:rsid w:val="00D93432"/>
    <w:rsid w:val="00D96D7F"/>
    <w:rsid w:val="00DB0A3A"/>
    <w:rsid w:val="00DE15C2"/>
    <w:rsid w:val="00DF569F"/>
    <w:rsid w:val="00DF7577"/>
    <w:rsid w:val="00E02A09"/>
    <w:rsid w:val="00E41BCD"/>
    <w:rsid w:val="00E6052D"/>
    <w:rsid w:val="00E62E68"/>
    <w:rsid w:val="00E75075"/>
    <w:rsid w:val="00E93D6B"/>
    <w:rsid w:val="00EA042A"/>
    <w:rsid w:val="00EC2EE5"/>
    <w:rsid w:val="00EC7871"/>
    <w:rsid w:val="00EF5B61"/>
    <w:rsid w:val="00F02F01"/>
    <w:rsid w:val="00F87D22"/>
    <w:rsid w:val="00FA1340"/>
    <w:rsid w:val="00FB39FA"/>
    <w:rsid w:val="00FE58DD"/>
    <w:rsid w:val="00FF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E363C"/>
  <w14:defaultImageDpi w14:val="96"/>
  <w15:docId w15:val="{07F9F33D-B74A-4C17-89EE-A88D91AC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42"/>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3F6"/>
    <w:pPr>
      <w:tabs>
        <w:tab w:val="center" w:pos="4320"/>
        <w:tab w:val="right" w:pos="8640"/>
      </w:tabs>
    </w:pPr>
  </w:style>
  <w:style w:type="character" w:customStyle="1" w:styleId="HeaderChar">
    <w:name w:val="Header Char"/>
    <w:basedOn w:val="DefaultParagraphFont"/>
    <w:link w:val="Header"/>
    <w:uiPriority w:val="99"/>
    <w:locked/>
    <w:rsid w:val="00777B07"/>
    <w:rPr>
      <w:rFonts w:cs="Times New Roman"/>
      <w:sz w:val="24"/>
      <w:szCs w:val="24"/>
    </w:rPr>
  </w:style>
  <w:style w:type="paragraph" w:styleId="Footer">
    <w:name w:val="footer"/>
    <w:basedOn w:val="Normal"/>
    <w:link w:val="FooterChar"/>
    <w:uiPriority w:val="99"/>
    <w:rsid w:val="00A153F6"/>
    <w:pPr>
      <w:tabs>
        <w:tab w:val="center" w:pos="4320"/>
        <w:tab w:val="right" w:pos="8640"/>
      </w:tabs>
    </w:pPr>
  </w:style>
  <w:style w:type="character" w:customStyle="1" w:styleId="FooterChar">
    <w:name w:val="Footer Char"/>
    <w:basedOn w:val="DefaultParagraphFont"/>
    <w:link w:val="Footer"/>
    <w:uiPriority w:val="99"/>
    <w:locked/>
    <w:rsid w:val="00E41BCD"/>
    <w:rPr>
      <w:rFonts w:cs="Times New Roman"/>
      <w:sz w:val="24"/>
      <w:szCs w:val="24"/>
    </w:rPr>
  </w:style>
  <w:style w:type="paragraph" w:styleId="ListParagraph">
    <w:name w:val="List Paragraph"/>
    <w:basedOn w:val="Normal"/>
    <w:uiPriority w:val="34"/>
    <w:qFormat/>
    <w:rsid w:val="007548B2"/>
    <w:pPr>
      <w:ind w:left="720"/>
    </w:pPr>
  </w:style>
  <w:style w:type="character" w:styleId="CommentReference">
    <w:name w:val="annotation reference"/>
    <w:basedOn w:val="DefaultParagraphFont"/>
    <w:uiPriority w:val="99"/>
    <w:rsid w:val="004603BF"/>
    <w:rPr>
      <w:rFonts w:cs="Times New Roman"/>
      <w:sz w:val="16"/>
      <w:szCs w:val="16"/>
    </w:rPr>
  </w:style>
  <w:style w:type="paragraph" w:styleId="CommentText">
    <w:name w:val="annotation text"/>
    <w:basedOn w:val="Normal"/>
    <w:link w:val="CommentTextChar"/>
    <w:uiPriority w:val="99"/>
    <w:rsid w:val="004603BF"/>
    <w:rPr>
      <w:sz w:val="20"/>
      <w:szCs w:val="20"/>
    </w:rPr>
  </w:style>
  <w:style w:type="character" w:customStyle="1" w:styleId="CommentTextChar">
    <w:name w:val="Comment Text Char"/>
    <w:basedOn w:val="DefaultParagraphFont"/>
    <w:link w:val="CommentText"/>
    <w:uiPriority w:val="99"/>
    <w:locked/>
    <w:rsid w:val="004603BF"/>
    <w:rPr>
      <w:rFonts w:cs="Times New Roman"/>
    </w:rPr>
  </w:style>
  <w:style w:type="paragraph" w:styleId="CommentSubject">
    <w:name w:val="annotation subject"/>
    <w:basedOn w:val="CommentText"/>
    <w:next w:val="CommentText"/>
    <w:link w:val="CommentSubjectChar"/>
    <w:uiPriority w:val="99"/>
    <w:rsid w:val="004603BF"/>
    <w:rPr>
      <w:b/>
      <w:bCs/>
    </w:rPr>
  </w:style>
  <w:style w:type="character" w:customStyle="1" w:styleId="CommentSubjectChar">
    <w:name w:val="Comment Subject Char"/>
    <w:basedOn w:val="CommentTextChar"/>
    <w:link w:val="CommentSubject"/>
    <w:uiPriority w:val="99"/>
    <w:locked/>
    <w:rsid w:val="004603BF"/>
    <w:rPr>
      <w:rFonts w:cs="Times New Roman"/>
      <w:b/>
      <w:bCs/>
    </w:rPr>
  </w:style>
  <w:style w:type="paragraph" w:styleId="BalloonText">
    <w:name w:val="Balloon Text"/>
    <w:basedOn w:val="Normal"/>
    <w:link w:val="BalloonTextChar"/>
    <w:uiPriority w:val="99"/>
    <w:rsid w:val="004603BF"/>
    <w:rPr>
      <w:rFonts w:ascii="Tahoma" w:hAnsi="Tahoma" w:cs="Tahoma"/>
      <w:sz w:val="16"/>
      <w:szCs w:val="16"/>
    </w:rPr>
  </w:style>
  <w:style w:type="character" w:customStyle="1" w:styleId="BalloonTextChar">
    <w:name w:val="Balloon Text Char"/>
    <w:basedOn w:val="DefaultParagraphFont"/>
    <w:link w:val="BalloonText"/>
    <w:uiPriority w:val="99"/>
    <w:locked/>
    <w:rsid w:val="004603BF"/>
    <w:rPr>
      <w:rFonts w:ascii="Tahoma" w:hAnsi="Tahoma" w:cs="Tahoma"/>
      <w:sz w:val="16"/>
      <w:szCs w:val="16"/>
    </w:rPr>
  </w:style>
  <w:style w:type="paragraph" w:customStyle="1" w:styleId="CMT">
    <w:name w:val="CMT"/>
    <w:basedOn w:val="Normal"/>
    <w:link w:val="CMTChar"/>
    <w:rsid w:val="00401742"/>
    <w:pPr>
      <w:suppressAutoHyphens/>
      <w:spacing w:before="120" w:after="120"/>
      <w:jc w:val="both"/>
    </w:pPr>
    <w:rPr>
      <w:rFonts w:cs="Calibri"/>
      <w:smallCaps/>
      <w:vanish/>
      <w:color w:val="0000FF"/>
      <w:szCs w:val="20"/>
    </w:rPr>
  </w:style>
  <w:style w:type="character" w:customStyle="1" w:styleId="CMTChar">
    <w:name w:val="CMT Char"/>
    <w:link w:val="CMT"/>
    <w:rsid w:val="00401742"/>
    <w:rPr>
      <w:rFonts w:ascii="Calibri" w:hAnsi="Calibri" w:cs="Calibri"/>
      <w:smallCaps/>
      <w:vanish/>
      <w:color w:val="0000FF"/>
      <w:sz w:val="22"/>
    </w:rPr>
  </w:style>
  <w:style w:type="paragraph" w:customStyle="1" w:styleId="ART">
    <w:name w:val="ART"/>
    <w:basedOn w:val="Normal"/>
    <w:next w:val="Normal"/>
    <w:qFormat/>
    <w:rsid w:val="00401742"/>
    <w:pPr>
      <w:keepNext/>
      <w:numPr>
        <w:ilvl w:val="1"/>
        <w:numId w:val="10"/>
      </w:numPr>
      <w:spacing w:before="360"/>
      <w:jc w:val="both"/>
      <w:outlineLvl w:val="1"/>
    </w:pPr>
    <w:rPr>
      <w:caps/>
      <w:szCs w:val="20"/>
    </w:rPr>
  </w:style>
  <w:style w:type="paragraph" w:customStyle="1" w:styleId="PR1">
    <w:name w:val="PR1"/>
    <w:basedOn w:val="Normal"/>
    <w:qFormat/>
    <w:rsid w:val="00401742"/>
    <w:pPr>
      <w:numPr>
        <w:ilvl w:val="2"/>
        <w:numId w:val="10"/>
      </w:numPr>
      <w:tabs>
        <w:tab w:val="clear" w:pos="1440"/>
        <w:tab w:val="left" w:pos="1260"/>
      </w:tabs>
      <w:spacing w:before="240"/>
      <w:ind w:left="1260" w:hanging="540"/>
      <w:jc w:val="both"/>
      <w:outlineLvl w:val="2"/>
    </w:pPr>
    <w:rPr>
      <w:bCs/>
      <w:szCs w:val="20"/>
    </w:rPr>
  </w:style>
  <w:style w:type="paragraph" w:customStyle="1" w:styleId="PR2">
    <w:name w:val="PR2"/>
    <w:basedOn w:val="Normal"/>
    <w:qFormat/>
    <w:rsid w:val="00401742"/>
    <w:pPr>
      <w:numPr>
        <w:ilvl w:val="3"/>
        <w:numId w:val="10"/>
      </w:numPr>
      <w:tabs>
        <w:tab w:val="clear" w:pos="2160"/>
        <w:tab w:val="left" w:pos="1620"/>
      </w:tabs>
      <w:spacing w:before="120"/>
      <w:ind w:left="1620" w:hanging="450"/>
      <w:contextualSpacing/>
      <w:jc w:val="both"/>
      <w:outlineLvl w:val="3"/>
    </w:pPr>
    <w:rPr>
      <w:szCs w:val="20"/>
    </w:rPr>
  </w:style>
  <w:style w:type="paragraph" w:customStyle="1" w:styleId="PR3">
    <w:name w:val="PR3"/>
    <w:basedOn w:val="Normal"/>
    <w:qFormat/>
    <w:rsid w:val="00401742"/>
    <w:pPr>
      <w:numPr>
        <w:ilvl w:val="4"/>
        <w:numId w:val="10"/>
      </w:numPr>
      <w:tabs>
        <w:tab w:val="clear" w:pos="2880"/>
        <w:tab w:val="left" w:pos="1980"/>
      </w:tabs>
      <w:spacing w:before="120"/>
      <w:ind w:left="1980" w:hanging="360"/>
      <w:contextualSpacing/>
      <w:jc w:val="both"/>
      <w:outlineLvl w:val="4"/>
    </w:pPr>
    <w:rPr>
      <w:szCs w:val="20"/>
    </w:rPr>
  </w:style>
  <w:style w:type="paragraph" w:customStyle="1" w:styleId="PR4">
    <w:name w:val="PR4"/>
    <w:basedOn w:val="Normal"/>
    <w:qFormat/>
    <w:rsid w:val="00401742"/>
    <w:pPr>
      <w:numPr>
        <w:ilvl w:val="5"/>
        <w:numId w:val="10"/>
      </w:numPr>
      <w:tabs>
        <w:tab w:val="clear" w:pos="3600"/>
        <w:tab w:val="num" w:pos="2880"/>
      </w:tabs>
      <w:spacing w:before="120"/>
      <w:ind w:left="2880" w:hanging="360"/>
      <w:contextualSpacing/>
      <w:jc w:val="both"/>
      <w:outlineLvl w:val="5"/>
    </w:pPr>
    <w:rPr>
      <w:szCs w:val="20"/>
    </w:rPr>
  </w:style>
  <w:style w:type="paragraph" w:customStyle="1" w:styleId="PR5">
    <w:name w:val="PR5"/>
    <w:basedOn w:val="Normal"/>
    <w:qFormat/>
    <w:rsid w:val="00401742"/>
    <w:pPr>
      <w:numPr>
        <w:ilvl w:val="6"/>
        <w:numId w:val="10"/>
      </w:numPr>
      <w:tabs>
        <w:tab w:val="left" w:pos="2016"/>
      </w:tabs>
      <w:ind w:left="2016" w:hanging="576"/>
      <w:jc w:val="both"/>
      <w:outlineLvl w:val="6"/>
    </w:pPr>
    <w:rPr>
      <w:szCs w:val="20"/>
    </w:rPr>
  </w:style>
  <w:style w:type="paragraph" w:customStyle="1" w:styleId="PR6">
    <w:name w:val="PR6"/>
    <w:basedOn w:val="Normal"/>
    <w:rsid w:val="00401742"/>
    <w:pPr>
      <w:numPr>
        <w:ilvl w:val="7"/>
        <w:numId w:val="10"/>
      </w:numPr>
      <w:tabs>
        <w:tab w:val="left" w:pos="2592"/>
      </w:tabs>
      <w:ind w:left="2592" w:hanging="576"/>
      <w:jc w:val="both"/>
      <w:outlineLvl w:val="7"/>
    </w:pPr>
    <w:rPr>
      <w:szCs w:val="20"/>
    </w:rPr>
  </w:style>
  <w:style w:type="paragraph" w:customStyle="1" w:styleId="PR7">
    <w:name w:val="PR7"/>
    <w:basedOn w:val="Normal"/>
    <w:rsid w:val="00401742"/>
    <w:pPr>
      <w:numPr>
        <w:ilvl w:val="8"/>
        <w:numId w:val="10"/>
      </w:numPr>
      <w:tabs>
        <w:tab w:val="left" w:pos="3168"/>
      </w:tabs>
      <w:ind w:left="3168" w:hanging="576"/>
      <w:jc w:val="both"/>
      <w:outlineLvl w:val="8"/>
    </w:pPr>
    <w:rPr>
      <w:szCs w:val="20"/>
    </w:rPr>
  </w:style>
  <w:style w:type="paragraph" w:customStyle="1" w:styleId="PRT">
    <w:name w:val="PRT"/>
    <w:basedOn w:val="Normal"/>
    <w:next w:val="ART"/>
    <w:qFormat/>
    <w:rsid w:val="00401742"/>
    <w:pPr>
      <w:keepNext/>
      <w:numPr>
        <w:numId w:val="10"/>
      </w:numPr>
      <w:spacing w:before="480"/>
      <w:outlineLvl w:val="0"/>
    </w:pPr>
    <w:rPr>
      <w:szCs w:val="20"/>
    </w:rPr>
  </w:style>
  <w:style w:type="paragraph" w:customStyle="1" w:styleId="SUT">
    <w:name w:val="SUT"/>
    <w:basedOn w:val="Normal"/>
    <w:next w:val="PR1"/>
    <w:rsid w:val="0079792F"/>
    <w:pPr>
      <w:suppressAutoHyphens/>
      <w:spacing w:before="240"/>
      <w:jc w:val="both"/>
      <w:outlineLvl w:val="0"/>
    </w:pPr>
    <w:rPr>
      <w:szCs w:val="20"/>
    </w:rPr>
  </w:style>
  <w:style w:type="paragraph" w:customStyle="1" w:styleId="DST">
    <w:name w:val="DST"/>
    <w:basedOn w:val="Normal"/>
    <w:next w:val="PR1"/>
    <w:rsid w:val="0079792F"/>
    <w:pPr>
      <w:suppressAutoHyphens/>
      <w:spacing w:before="240"/>
      <w:jc w:val="both"/>
      <w:outlineLvl w:val="0"/>
    </w:pPr>
    <w:rPr>
      <w:szCs w:val="20"/>
    </w:rPr>
  </w:style>
  <w:style w:type="character" w:styleId="Hyperlink">
    <w:name w:val="Hyperlink"/>
    <w:basedOn w:val="DefaultParagraphFont"/>
    <w:unhideWhenUsed/>
    <w:rsid w:val="0079792F"/>
    <w:rPr>
      <w:color w:val="0000FF" w:themeColor="hyperlink"/>
      <w:u w:val="single"/>
    </w:rPr>
  </w:style>
  <w:style w:type="paragraph" w:styleId="Revision">
    <w:name w:val="Revision"/>
    <w:hidden/>
    <w:uiPriority w:val="99"/>
    <w:semiHidden/>
    <w:rsid w:val="006C6D4D"/>
    <w:rPr>
      <w:rFonts w:ascii="Calibri" w:hAnsi="Calibri"/>
      <w:sz w:val="22"/>
      <w:szCs w:val="24"/>
    </w:rPr>
  </w:style>
  <w:style w:type="paragraph" w:customStyle="1" w:styleId="EOS">
    <w:name w:val="EOS"/>
    <w:basedOn w:val="Normal"/>
    <w:autoRedefine/>
    <w:rsid w:val="000845B0"/>
    <w:pPr>
      <w:tabs>
        <w:tab w:val="center" w:pos="4680"/>
        <w:tab w:val="right" w:pos="9360"/>
      </w:tabs>
      <w:suppressAutoHyphens/>
      <w:spacing w:before="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97E4-1486-4321-B0BE-A36A4212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28 0528</vt:lpstr>
    </vt:vector>
  </TitlesOfParts>
  <Company>Hewlett-Packard Company</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0528</dc:title>
  <dc:subject/>
  <dc:creator>jterwill</dc:creator>
  <cp:keywords/>
  <cp:lastModifiedBy>Taylor, Jim</cp:lastModifiedBy>
  <cp:revision>7</cp:revision>
  <cp:lastPrinted>2014-01-29T14:24:00Z</cp:lastPrinted>
  <dcterms:created xsi:type="dcterms:W3CDTF">2020-12-30T22:19:00Z</dcterms:created>
  <dcterms:modified xsi:type="dcterms:W3CDTF">2020-12-30T23:34:00Z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-46888684</vt:i4>
  </property>
</Properties>
</file>