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87916" w14:textId="0B170278" w:rsidR="00476964" w:rsidRPr="00D37165" w:rsidRDefault="00AD148F" w:rsidP="00D37165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28C34233" wp14:editId="0B86B950">
            <wp:extent cx="5730240" cy="365760"/>
            <wp:effectExtent l="0" t="0" r="381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9016" w14:textId="4D8E9C6B" w:rsidR="006A12CB" w:rsidRPr="00013680" w:rsidRDefault="00013680" w:rsidP="00013680">
      <w:pPr>
        <w:spacing w:line="240" w:lineRule="auto"/>
        <w:contextualSpacing/>
        <w:rPr>
          <w:rFonts w:asciiTheme="majorBidi" w:hAnsiTheme="majorBidi" w:cstheme="majorBidi"/>
          <w:color w:val="1D2129"/>
          <w:sz w:val="28"/>
          <w:szCs w:val="28"/>
          <w:shd w:val="clear" w:color="auto" w:fill="FFFFFF"/>
        </w:rPr>
      </w:pPr>
      <w:r w:rsidRPr="000136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5BB71B" wp14:editId="45165C36">
            <wp:simplePos x="0" y="0"/>
            <wp:positionH relativeFrom="margin">
              <wp:posOffset>2540</wp:posOffset>
            </wp:positionH>
            <wp:positionV relativeFrom="paragraph">
              <wp:posOffset>1905</wp:posOffset>
            </wp:positionV>
            <wp:extent cx="2275205" cy="1516380"/>
            <wp:effectExtent l="0" t="0" r="0" b="7620"/>
            <wp:wrapSquare wrapText="bothSides"/>
            <wp:docPr id="1" name="Picture 1" descr="C:\Users\cmtam\AppData\Local\Microsoft\Windows\INetCache\Content.Word\15584708228_f171ef27ff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tam\AppData\Local\Microsoft\Windows\INetCache\Content.Word\15584708228_f171ef27ff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964" w:rsidRPr="00013680">
        <w:rPr>
          <w:rFonts w:asciiTheme="majorBidi" w:hAnsiTheme="majorBidi" w:cstheme="majorBidi"/>
          <w:color w:val="1D2129"/>
          <w:sz w:val="28"/>
          <w:szCs w:val="28"/>
          <w:shd w:val="clear" w:color="auto" w:fill="FFFFFF"/>
        </w:rPr>
        <w:t>The Jewish Studies program at UH offers a broad array of classes on Judaism as history, culture and religion. Our students come from all religious and ethnic backgrounds. Many of our courses satisfy core curriculum requirements</w:t>
      </w:r>
      <w:r w:rsidR="00FC13AC" w:rsidRPr="00013680">
        <w:rPr>
          <w:rFonts w:asciiTheme="majorBidi" w:hAnsiTheme="majorBidi" w:cstheme="majorBidi"/>
          <w:color w:val="1D2129"/>
          <w:sz w:val="28"/>
          <w:szCs w:val="28"/>
          <w:shd w:val="clear" w:color="auto" w:fill="FFFFFF"/>
        </w:rPr>
        <w:t>, and we offer a minor in Jewish Studies</w:t>
      </w:r>
      <w:r w:rsidR="00D61941" w:rsidRPr="00013680">
        <w:rPr>
          <w:rFonts w:asciiTheme="majorBidi" w:hAnsiTheme="majorBidi" w:cstheme="majorBidi"/>
          <w:color w:val="1D2129"/>
          <w:sz w:val="28"/>
          <w:szCs w:val="28"/>
          <w:shd w:val="clear" w:color="auto" w:fill="FFFFFF"/>
        </w:rPr>
        <w:t>.</w:t>
      </w:r>
    </w:p>
    <w:p w14:paraId="03F145D9" w14:textId="77777777" w:rsidR="00DD3419" w:rsidRDefault="00DD3419" w:rsidP="00476964">
      <w:pPr>
        <w:spacing w:line="240" w:lineRule="auto"/>
        <w:contextualSpacing/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</w:pPr>
    </w:p>
    <w:p w14:paraId="209F0FE8" w14:textId="0D7CB325" w:rsidR="00476964" w:rsidRPr="00D61941" w:rsidRDefault="00476964" w:rsidP="00476964">
      <w:pPr>
        <w:spacing w:line="240" w:lineRule="auto"/>
        <w:contextualSpacing/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</w:pPr>
      <w:r w:rsidRPr="00D61941"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  <w:t>The minor in Jewish Studies consists of 18 credit hours:</w:t>
      </w:r>
    </w:p>
    <w:p w14:paraId="11320B21" w14:textId="77777777" w:rsidR="00FC13AC" w:rsidRPr="00D61941" w:rsidRDefault="00FC13AC" w:rsidP="00476964">
      <w:pPr>
        <w:spacing w:line="240" w:lineRule="auto"/>
        <w:contextualSpacing/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</w:pPr>
    </w:p>
    <w:p w14:paraId="523C77EF" w14:textId="77777777" w:rsidR="00AC5CDB" w:rsidRDefault="00AC5CDB" w:rsidP="00476964">
      <w:pPr>
        <w:spacing w:line="240" w:lineRule="auto"/>
        <w:contextualSpacing/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</w:pPr>
    </w:p>
    <w:p w14:paraId="47E1AE48" w14:textId="73139B5F" w:rsidR="00476964" w:rsidRPr="00D61941" w:rsidRDefault="00476964" w:rsidP="00476964">
      <w:pPr>
        <w:spacing w:line="240" w:lineRule="auto"/>
        <w:contextualSpacing/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</w:pPr>
      <w:r w:rsidRPr="00D61941">
        <w:rPr>
          <w:rFonts w:asciiTheme="majorBidi" w:hAnsiTheme="majorBidi" w:cstheme="majorBidi"/>
          <w:color w:val="1D2129"/>
          <w:sz w:val="24"/>
          <w:szCs w:val="24"/>
          <w:shd w:val="clear" w:color="auto" w:fill="FFFFFF"/>
        </w:rPr>
        <w:t>1. Six credit hours required:</w:t>
      </w:r>
    </w:p>
    <w:p w14:paraId="37E7C9F6" w14:textId="06299EB3" w:rsidR="00476964" w:rsidRPr="00D61941" w:rsidRDefault="00476964" w:rsidP="00476964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D61941">
        <w:rPr>
          <w:rFonts w:asciiTheme="majorBidi" w:hAnsiTheme="majorBidi" w:cstheme="majorBidi"/>
          <w:b/>
          <w:sz w:val="24"/>
          <w:szCs w:val="24"/>
        </w:rPr>
        <w:t>JWST/WCL 2380</w:t>
      </w:r>
      <w:r w:rsidR="00D37165" w:rsidRPr="00D61941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Pr="00D61941">
        <w:rPr>
          <w:rFonts w:asciiTheme="majorBidi" w:hAnsiTheme="majorBidi" w:cstheme="majorBidi"/>
          <w:b/>
          <w:sz w:val="24"/>
          <w:szCs w:val="24"/>
        </w:rPr>
        <w:t>Introduction to Jewish Studies</w:t>
      </w:r>
      <w:r w:rsidRPr="00D61941">
        <w:rPr>
          <w:rFonts w:asciiTheme="majorBidi" w:hAnsiTheme="majorBidi" w:cstheme="majorBidi"/>
          <w:bCs/>
          <w:sz w:val="24"/>
          <w:szCs w:val="24"/>
        </w:rPr>
        <w:t xml:space="preserve"> (Tamber-Rosenau</w:t>
      </w:r>
      <w:r w:rsidR="00355598" w:rsidRPr="00D61941">
        <w:rPr>
          <w:rFonts w:asciiTheme="majorBidi" w:hAnsiTheme="majorBidi" w:cstheme="majorBidi"/>
          <w:bCs/>
          <w:sz w:val="24"/>
          <w:szCs w:val="24"/>
        </w:rPr>
        <w:t>)</w:t>
      </w:r>
      <w:r w:rsidR="006224E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87C35">
        <w:rPr>
          <w:rFonts w:asciiTheme="majorBidi" w:hAnsiTheme="majorBidi" w:cstheme="majorBidi"/>
          <w:bCs/>
          <w:color w:val="FF0000"/>
          <w:sz w:val="24"/>
          <w:szCs w:val="24"/>
        </w:rPr>
        <w:t>Spring 202</w:t>
      </w:r>
      <w:r w:rsidR="006854FF">
        <w:rPr>
          <w:rFonts w:asciiTheme="majorBidi" w:hAnsiTheme="majorBidi" w:cstheme="majorBidi"/>
          <w:bCs/>
          <w:color w:val="FF0000"/>
          <w:sz w:val="24"/>
          <w:szCs w:val="24"/>
        </w:rPr>
        <w:t>2—</w:t>
      </w:r>
      <w:r w:rsidR="00D87C35">
        <w:rPr>
          <w:rFonts w:asciiTheme="majorBidi" w:hAnsiTheme="majorBidi" w:cstheme="majorBidi"/>
          <w:bCs/>
          <w:color w:val="FF0000"/>
          <w:sz w:val="24"/>
          <w:szCs w:val="24"/>
        </w:rPr>
        <w:t>face-to-face</w:t>
      </w:r>
    </w:p>
    <w:p w14:paraId="523BB8FC" w14:textId="40E5D268" w:rsidR="00476964" w:rsidRPr="00D61941" w:rsidRDefault="00476964" w:rsidP="00476964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D61941">
        <w:rPr>
          <w:rFonts w:asciiTheme="majorBidi" w:hAnsiTheme="majorBidi" w:cstheme="majorBidi"/>
          <w:b/>
          <w:sz w:val="24"/>
          <w:szCs w:val="24"/>
        </w:rPr>
        <w:t>WCL 3380</w:t>
      </w:r>
      <w:r w:rsidR="00D37165" w:rsidRPr="00D61941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Pr="00D61941">
        <w:rPr>
          <w:rFonts w:asciiTheme="majorBidi" w:hAnsiTheme="majorBidi" w:cstheme="majorBidi"/>
          <w:b/>
          <w:sz w:val="24"/>
          <w:szCs w:val="24"/>
        </w:rPr>
        <w:t xml:space="preserve">American Jewish Culture </w:t>
      </w:r>
      <w:r w:rsidRPr="00D61941">
        <w:rPr>
          <w:rFonts w:asciiTheme="majorBidi" w:hAnsiTheme="majorBidi" w:cstheme="majorBidi"/>
          <w:bCs/>
          <w:sz w:val="24"/>
          <w:szCs w:val="24"/>
        </w:rPr>
        <w:t>(Weiss)</w:t>
      </w:r>
      <w:r w:rsidR="00D7757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854FF">
        <w:rPr>
          <w:rFonts w:asciiTheme="majorBidi" w:hAnsiTheme="majorBidi" w:cstheme="majorBidi"/>
          <w:bCs/>
          <w:color w:val="FF0000"/>
          <w:sz w:val="24"/>
          <w:szCs w:val="24"/>
        </w:rPr>
        <w:t>Spring 2022—asynchronous online</w:t>
      </w:r>
    </w:p>
    <w:p w14:paraId="5834747C" w14:textId="77777777" w:rsidR="00476964" w:rsidRPr="00D61941" w:rsidRDefault="00476964" w:rsidP="0047696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61941">
        <w:rPr>
          <w:rFonts w:asciiTheme="majorBidi" w:hAnsiTheme="majorBidi" w:cstheme="majorBidi"/>
          <w:sz w:val="24"/>
          <w:szCs w:val="24"/>
        </w:rPr>
        <w:t>2. Twelve credit hours taken from:</w:t>
      </w:r>
    </w:p>
    <w:p w14:paraId="7C73A42C" w14:textId="3A56CD17" w:rsidR="006E5754" w:rsidRDefault="006E5754" w:rsidP="001D12C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JWST/RELS 2372: The Bible and Modern Pop Culture 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>(Tamber-Rosenau)</w:t>
      </w:r>
      <w:r w:rsidR="006854FF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  <w:r w:rsidR="006854FF">
        <w:rPr>
          <w:rFonts w:asciiTheme="majorBidi" w:hAnsiTheme="majorBidi" w:cstheme="majorBidi"/>
          <w:bCs/>
          <w:color w:val="FF0000"/>
          <w:sz w:val="24"/>
          <w:szCs w:val="24"/>
        </w:rPr>
        <w:t>Spring 2022—hybrid</w:t>
      </w:r>
      <w:r w:rsidR="000C350E">
        <w:rPr>
          <w:rFonts w:asciiTheme="majorBidi" w:hAnsiTheme="majorBidi" w:cstheme="majorBidi"/>
          <w:bCs/>
          <w:color w:val="FF0000"/>
          <w:sz w:val="24"/>
          <w:szCs w:val="24"/>
        </w:rPr>
        <w:t xml:space="preserve"> </w:t>
      </w:r>
    </w:p>
    <w:p w14:paraId="6F65AA30" w14:textId="313C96D8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JWST/RELS 3373: Jews in the Ancient World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(Tamber-Rosenau)</w:t>
      </w:r>
    </w:p>
    <w:p w14:paraId="2A3ED7EB" w14:textId="7C8E8F9D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JWST 3374: Jewish Film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(Weiss)</w:t>
      </w:r>
      <w:r w:rsidR="00861BAD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66E9B6C7" w14:textId="7566A254" w:rsidR="00F478C3" w:rsidRPr="00D61941" w:rsidRDefault="00F478C3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JWST/ARAB 3397: Jewish-Muslim Relations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(Tamber-Rosena</w:t>
      </w:r>
      <w:r w:rsidR="003374CB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>u,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El-Badawi) </w:t>
      </w:r>
    </w:p>
    <w:p w14:paraId="56DADEE9" w14:textId="77777777" w:rsidR="00C13656" w:rsidRPr="00C13656" w:rsidRDefault="00467B01" w:rsidP="00C1365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7757F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JWST 3397: Jewish Law </w:t>
      </w:r>
      <w:r w:rsidRPr="00D7757F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>(Weiss)</w:t>
      </w:r>
    </w:p>
    <w:p w14:paraId="47EE1C2D" w14:textId="1A3A512A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CLAS 3375: Roman, Jew, and Christian: The Politics and Sociology of Religion in the First Century A.D.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(Armstrong)</w:t>
      </w:r>
      <w:r w:rsidR="006E5754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01E69CAD" w14:textId="410FAAC1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GERM 3364: Writing Holocausts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(Glass)</w:t>
      </w:r>
      <w:r w:rsidR="00F13483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591D3C76" w14:textId="54616CE4" w:rsidR="00011E9A" w:rsidRPr="00996B1A" w:rsidRDefault="00011E9A" w:rsidP="00996B1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GERM 3381: History of German Cinema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(Frieden)</w:t>
      </w:r>
      <w:r w:rsidR="0081351A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  <w:r w:rsidR="00996B1A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Spring 2022—asynchronous online</w:t>
      </w:r>
    </w:p>
    <w:p w14:paraId="4F648D47" w14:textId="23B22B81" w:rsidR="00011E9A" w:rsidRDefault="00011E9A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GERM 3384: Fascism and German Cinema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(Frieden) </w:t>
      </w:r>
    </w:p>
    <w:p w14:paraId="358C07E9" w14:textId="6FDE7522" w:rsidR="00011E9A" w:rsidRDefault="00011E9A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GERM 3385: East German Cinema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(Frieden)</w:t>
      </w:r>
      <w:r w:rsidR="00D55DD2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07153D44" w14:textId="6BC1777F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HIST </w:t>
      </w:r>
      <w:r w:rsidR="006B3B4D"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43</w:t>
      </w:r>
      <w:r w:rsidR="00682B28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21</w:t>
      </w:r>
      <w:r w:rsidR="006B3B4D"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/JWST 3397/WCL </w:t>
      </w:r>
      <w:r w:rsidR="00396D9D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4396</w:t>
      </w: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: History of Jewish Food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(Goldberg)</w:t>
      </w:r>
    </w:p>
    <w:p w14:paraId="54DC17D2" w14:textId="2F06B4DD" w:rsidR="00476964" w:rsidRPr="006854FF" w:rsidRDefault="00476964" w:rsidP="006854FF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HIST 2349: Latina/o Jewish History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(Goldberg)</w:t>
      </w:r>
      <w:r w:rsidR="006854FF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  <w:r w:rsidR="006854FF">
        <w:rPr>
          <w:rFonts w:asciiTheme="majorBidi" w:hAnsiTheme="majorBidi" w:cstheme="majorBidi"/>
          <w:bCs/>
          <w:color w:val="FF0000"/>
          <w:sz w:val="24"/>
          <w:szCs w:val="24"/>
        </w:rPr>
        <w:t>Spring 2022</w:t>
      </w:r>
      <w:r w:rsidR="00996B1A">
        <w:rPr>
          <w:rFonts w:asciiTheme="majorBidi" w:hAnsiTheme="majorBidi" w:cstheme="majorBidi"/>
          <w:bCs/>
          <w:color w:val="FF0000"/>
          <w:sz w:val="24"/>
          <w:szCs w:val="24"/>
        </w:rPr>
        <w:t>—</w:t>
      </w:r>
      <w:r w:rsidR="006854FF">
        <w:rPr>
          <w:rFonts w:asciiTheme="majorBidi" w:hAnsiTheme="majorBidi" w:cstheme="majorBidi"/>
          <w:bCs/>
          <w:color w:val="FF0000"/>
          <w:sz w:val="24"/>
          <w:szCs w:val="24"/>
        </w:rPr>
        <w:t>face-to-face T/Th 2:30-4</w:t>
      </w:r>
    </w:p>
    <w:p w14:paraId="3B15BA60" w14:textId="1E7203BA" w:rsidR="00B91ADF" w:rsidRPr="00D61941" w:rsidRDefault="00B91ADF" w:rsidP="006854F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HIST 3317</w:t>
      </w:r>
      <w:r w:rsidR="00D7757F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/JWST 3397</w:t>
      </w: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: Making of Ethnic America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(Goldberg)</w:t>
      </w:r>
      <w:r w:rsidR="00D7757F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076D2119" w14:textId="04F7ADC5" w:rsidR="007C0277" w:rsidRDefault="007C0277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HIST 3357: Germany 1815-1918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(Decker)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Spring 2022—online synchronous T/Th 1-2:30</w:t>
      </w:r>
    </w:p>
    <w:p w14:paraId="1A8AB404" w14:textId="708DB532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HIST 3358: </w:t>
      </w:r>
      <w:r w:rsidR="00096756"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Germany Since 1918</w:t>
      </w:r>
      <w:r w:rsidR="000B4F72"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 </w:t>
      </w:r>
      <w:r w:rsidR="000B4F72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>(Decker)</w:t>
      </w:r>
      <w:r w:rsidR="000967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5628B4C0" w14:textId="1571EFC4" w:rsidR="007B74B9" w:rsidRPr="00DB2A68" w:rsidRDefault="007B74B9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HIST 4361: 20th Century Genocides and Human Rights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(Guenther) </w:t>
      </w:r>
    </w:p>
    <w:p w14:paraId="41269680" w14:textId="5AFA6493" w:rsidR="00DB2A68" w:rsidRPr="00DB2A68" w:rsidRDefault="00DB2A68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HON 4301H: Ancient Medicine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(Rainbow)</w:t>
      </w:r>
    </w:p>
    <w:p w14:paraId="52F1443A" w14:textId="4F08005A" w:rsidR="00DB2A68" w:rsidRPr="00D61941" w:rsidRDefault="00DB2A68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HON 4397H: Law and Ethics</w:t>
      </w:r>
      <w:r w:rsidR="00DC210E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 (listed in schedule as Christianity and Ethics)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(Rainbow)</w:t>
      </w:r>
      <w:r w:rsidR="00396D9D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72AB0589" w14:textId="1FC06997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RELS 2310: Bible and Western Culture I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(Tamber-Rosenau)</w:t>
      </w:r>
      <w:r w:rsidR="00AD148F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  <w:r w:rsidR="00EF239F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Spring 202</w:t>
      </w:r>
      <w:r w:rsidR="006854FF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2</w:t>
      </w:r>
      <w:r w:rsidR="00957EA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—face-to-face M/W 2:30-4</w:t>
      </w:r>
    </w:p>
    <w:p w14:paraId="2600462B" w14:textId="0CEE6317" w:rsidR="00476964" w:rsidRPr="00D61941" w:rsidRDefault="00476964" w:rsidP="001D12C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RELS 2330: Judaism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(Weiss)</w:t>
      </w:r>
      <w:r w:rsidR="00AC7D0D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  <w:r w:rsidR="003E4C25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Spring 202</w:t>
      </w:r>
      <w:r w:rsidR="006854FF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2</w:t>
      </w:r>
      <w:r w:rsidR="003E4C25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—</w:t>
      </w:r>
      <w:r w:rsidR="006854FF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hybrid</w:t>
      </w:r>
      <w:r w:rsidR="000C350E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 xml:space="preserve"> </w:t>
      </w:r>
    </w:p>
    <w:p w14:paraId="73909A96" w14:textId="298C13B8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RELS 2335: Rabbinic Biblical Interpretation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(Weiss)</w:t>
      </w:r>
      <w:r w:rsidR="003E4C25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  <w:r w:rsidR="003E4C25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Spring 202</w:t>
      </w:r>
      <w:r w:rsidR="006854FF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2</w:t>
      </w:r>
      <w:r w:rsidR="003E4C25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—</w:t>
      </w:r>
      <w:r w:rsidR="006854FF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face-to-face</w:t>
      </w:r>
      <w:r w:rsidR="003E4C25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 xml:space="preserve"> T/Th 8:30-10</w:t>
      </w:r>
    </w:p>
    <w:p w14:paraId="18D492CC" w14:textId="58EBBF92" w:rsidR="006C07FC" w:rsidRPr="00D61941" w:rsidRDefault="006C07FC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RELS 3323: Continuities: Jewish and Christian Texts and Traditions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(Eberhart)</w:t>
      </w:r>
      <w:r w:rsidR="00D55DD2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0D876AD3" w14:textId="1E70E234" w:rsidR="00476964" w:rsidRPr="00D61941" w:rsidRDefault="00476964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>RELS 3371/JWST 3397: Women in the Hebrew Bible</w:t>
      </w:r>
      <w:r w:rsidR="000E6456"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 </w:t>
      </w:r>
      <w:r w:rsidR="000E645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>(Tamber-Rosenau)</w:t>
      </w:r>
      <w:r w:rsidR="00AD148F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 </w:t>
      </w:r>
    </w:p>
    <w:p w14:paraId="2AFEDE45" w14:textId="1BDC507E" w:rsidR="006A12CB" w:rsidRPr="00D61941" w:rsidRDefault="006A12CB" w:rsidP="0047696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</w:pPr>
      <w:r w:rsidRPr="00D61941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bidi="he-IL"/>
        </w:rPr>
        <w:t xml:space="preserve">WCL 3376: Visual Stories: Local and Global 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>(</w:t>
      </w:r>
      <w:r w:rsidR="00293676"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Hernandez </w:t>
      </w:r>
      <w:r w:rsidRPr="00D61941">
        <w:rPr>
          <w:rFonts w:asciiTheme="majorBidi" w:eastAsia="Times New Roman" w:hAnsiTheme="majorBidi" w:cstheme="majorBidi"/>
          <w:color w:val="111111"/>
          <w:sz w:val="24"/>
          <w:szCs w:val="24"/>
          <w:lang w:bidi="he-IL"/>
        </w:rPr>
        <w:t xml:space="preserve">Ramirez) </w:t>
      </w:r>
      <w:r w:rsidRPr="00D61941">
        <w:rPr>
          <w:rFonts w:asciiTheme="majorBidi" w:eastAsia="Times New Roman" w:hAnsiTheme="majorBidi" w:cstheme="majorBidi"/>
          <w:sz w:val="24"/>
          <w:szCs w:val="24"/>
          <w:lang w:bidi="he-IL"/>
        </w:rPr>
        <w:t>[Available for JWST credit by petition, if student’s project relates to Jewish community]</w:t>
      </w:r>
      <w:r w:rsidR="00DA2271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</w:t>
      </w:r>
      <w:r w:rsidR="00DA2271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Spring 202</w:t>
      </w:r>
      <w:r w:rsidR="00996B1A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2</w:t>
      </w:r>
      <w:r w:rsidR="00DA2271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—</w:t>
      </w:r>
      <w:r w:rsidR="00996B1A">
        <w:rPr>
          <w:rFonts w:asciiTheme="majorBidi" w:eastAsia="Times New Roman" w:hAnsiTheme="majorBidi" w:cstheme="majorBidi"/>
          <w:color w:val="FF0000"/>
          <w:sz w:val="24"/>
          <w:szCs w:val="24"/>
          <w:lang w:bidi="he-IL"/>
        </w:rPr>
        <w:t>face-to-face W 2:30-5:30</w:t>
      </w:r>
    </w:p>
    <w:p w14:paraId="1F19DDB9" w14:textId="24345AA3" w:rsidR="00476964" w:rsidRPr="00D61941" w:rsidRDefault="001A245E" w:rsidP="00476964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61941">
        <w:rPr>
          <w:rFonts w:asciiTheme="majorBidi" w:hAnsiTheme="majorBidi" w:cstheme="majorBidi"/>
          <w:bCs/>
          <w:sz w:val="24"/>
          <w:szCs w:val="24"/>
        </w:rPr>
        <w:t xml:space="preserve">For more information, please visit us online at </w:t>
      </w:r>
      <w:hyperlink r:id="rId7" w:history="1">
        <w:r w:rsidRPr="00D61941">
          <w:rPr>
            <w:rStyle w:val="Hyperlink"/>
            <w:rFonts w:asciiTheme="majorBidi" w:hAnsiTheme="majorBidi" w:cstheme="majorBidi"/>
            <w:sz w:val="24"/>
            <w:szCs w:val="24"/>
          </w:rPr>
          <w:t>www.uh.edu/</w:t>
        </w:r>
        <w:r w:rsidRPr="00D61941">
          <w:rPr>
            <w:rStyle w:val="Hyperlink"/>
            <w:rFonts w:asciiTheme="majorBidi" w:hAnsiTheme="majorBidi" w:cstheme="majorBidi"/>
            <w:sz w:val="24"/>
            <w:szCs w:val="24"/>
          </w:rPr>
          <w:t>c</w:t>
        </w:r>
        <w:r w:rsidRPr="00D61941">
          <w:rPr>
            <w:rStyle w:val="Hyperlink"/>
            <w:rFonts w:asciiTheme="majorBidi" w:hAnsiTheme="majorBidi" w:cstheme="majorBidi"/>
            <w:sz w:val="24"/>
            <w:szCs w:val="24"/>
          </w:rPr>
          <w:t>lass/mcl/jewish-studies</w:t>
        </w:r>
      </w:hyperlink>
      <w:r w:rsidRPr="00D61941">
        <w:rPr>
          <w:rFonts w:asciiTheme="majorBidi" w:hAnsiTheme="majorBidi" w:cstheme="majorBidi"/>
          <w:bCs/>
          <w:sz w:val="24"/>
          <w:szCs w:val="24"/>
        </w:rPr>
        <w:t>. You can also like University of Houston Jewish Studies on Facebook</w:t>
      </w:r>
      <w:r w:rsidR="00B86A27">
        <w:rPr>
          <w:rFonts w:asciiTheme="majorBidi" w:hAnsiTheme="majorBidi" w:cstheme="majorBidi"/>
          <w:bCs/>
          <w:sz w:val="24"/>
          <w:szCs w:val="24"/>
        </w:rPr>
        <w:t xml:space="preserve"> and follow us on Twitter</w:t>
      </w:r>
      <w:r w:rsidR="00A232EF" w:rsidRPr="00D61941">
        <w:rPr>
          <w:rFonts w:asciiTheme="majorBidi" w:hAnsiTheme="majorBidi" w:cstheme="majorBidi"/>
          <w:bCs/>
          <w:sz w:val="24"/>
          <w:szCs w:val="24"/>
        </w:rPr>
        <w:t>!</w:t>
      </w:r>
    </w:p>
    <w:sectPr w:rsidR="00476964" w:rsidRPr="00D61941" w:rsidSect="001844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1123"/>
    <w:multiLevelType w:val="multilevel"/>
    <w:tmpl w:val="569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378E2"/>
    <w:multiLevelType w:val="hybridMultilevel"/>
    <w:tmpl w:val="8A3A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71EF5"/>
    <w:multiLevelType w:val="hybridMultilevel"/>
    <w:tmpl w:val="B10ED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F9"/>
    <w:rsid w:val="000035F9"/>
    <w:rsid w:val="00011E9A"/>
    <w:rsid w:val="00013680"/>
    <w:rsid w:val="00096756"/>
    <w:rsid w:val="000B4F72"/>
    <w:rsid w:val="000C350E"/>
    <w:rsid w:val="000D4D75"/>
    <w:rsid w:val="000E6456"/>
    <w:rsid w:val="0018443D"/>
    <w:rsid w:val="00195548"/>
    <w:rsid w:val="001A245E"/>
    <w:rsid w:val="001D12C2"/>
    <w:rsid w:val="00293676"/>
    <w:rsid w:val="002E6D11"/>
    <w:rsid w:val="003374CB"/>
    <w:rsid w:val="00355598"/>
    <w:rsid w:val="00394A6B"/>
    <w:rsid w:val="00396D9D"/>
    <w:rsid w:val="003E4C25"/>
    <w:rsid w:val="00403EA1"/>
    <w:rsid w:val="004308A9"/>
    <w:rsid w:val="00442ED4"/>
    <w:rsid w:val="00467B01"/>
    <w:rsid w:val="00476964"/>
    <w:rsid w:val="00555250"/>
    <w:rsid w:val="00581244"/>
    <w:rsid w:val="005D11C6"/>
    <w:rsid w:val="006224E8"/>
    <w:rsid w:val="00682B28"/>
    <w:rsid w:val="006854FF"/>
    <w:rsid w:val="006A12CB"/>
    <w:rsid w:val="006B3B4D"/>
    <w:rsid w:val="006B6613"/>
    <w:rsid w:val="006C07FC"/>
    <w:rsid w:val="006E5754"/>
    <w:rsid w:val="007124E8"/>
    <w:rsid w:val="007851D4"/>
    <w:rsid w:val="007B74B9"/>
    <w:rsid w:val="007C0277"/>
    <w:rsid w:val="007E7227"/>
    <w:rsid w:val="007F0FC4"/>
    <w:rsid w:val="0081351A"/>
    <w:rsid w:val="008275B6"/>
    <w:rsid w:val="00854229"/>
    <w:rsid w:val="00861BAD"/>
    <w:rsid w:val="008F4A84"/>
    <w:rsid w:val="00901C4F"/>
    <w:rsid w:val="009304FC"/>
    <w:rsid w:val="00951282"/>
    <w:rsid w:val="00957EAE"/>
    <w:rsid w:val="00985086"/>
    <w:rsid w:val="00996B1A"/>
    <w:rsid w:val="009A51BC"/>
    <w:rsid w:val="00A232EF"/>
    <w:rsid w:val="00AC5CDB"/>
    <w:rsid w:val="00AC7D0D"/>
    <w:rsid w:val="00AD148F"/>
    <w:rsid w:val="00B709C3"/>
    <w:rsid w:val="00B73679"/>
    <w:rsid w:val="00B86A27"/>
    <w:rsid w:val="00B91ADF"/>
    <w:rsid w:val="00BB780D"/>
    <w:rsid w:val="00BD1759"/>
    <w:rsid w:val="00C120E5"/>
    <w:rsid w:val="00C13656"/>
    <w:rsid w:val="00C278F5"/>
    <w:rsid w:val="00C65B90"/>
    <w:rsid w:val="00CF0933"/>
    <w:rsid w:val="00D37165"/>
    <w:rsid w:val="00D4657B"/>
    <w:rsid w:val="00D55DD2"/>
    <w:rsid w:val="00D61941"/>
    <w:rsid w:val="00D7757F"/>
    <w:rsid w:val="00D87C35"/>
    <w:rsid w:val="00DA2271"/>
    <w:rsid w:val="00DB2A68"/>
    <w:rsid w:val="00DC210E"/>
    <w:rsid w:val="00DC754E"/>
    <w:rsid w:val="00DD3419"/>
    <w:rsid w:val="00E71FAE"/>
    <w:rsid w:val="00EA14CE"/>
    <w:rsid w:val="00EF239F"/>
    <w:rsid w:val="00F13483"/>
    <w:rsid w:val="00F478C3"/>
    <w:rsid w:val="00FC13AC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33D"/>
  <w15:chartTrackingRefBased/>
  <w15:docId w15:val="{6DF1B16D-45A3-4375-B88C-785C420E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45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AC5C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.edu/class/mcl/jewish-stu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Tamber-Rosenau</dc:creator>
  <cp:keywords/>
  <dc:description/>
  <cp:lastModifiedBy>Holden, Jillian</cp:lastModifiedBy>
  <cp:revision>3</cp:revision>
  <dcterms:created xsi:type="dcterms:W3CDTF">2021-10-28T18:37:00Z</dcterms:created>
  <dcterms:modified xsi:type="dcterms:W3CDTF">2021-10-28T18:40:00Z</dcterms:modified>
</cp:coreProperties>
</file>